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92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2"/>
        <w:gridCol w:w="8598"/>
        <w:gridCol w:w="438"/>
      </w:tblGrid>
      <w:tr w:rsidR="004112B4" w:rsidTr="004112B4">
        <w:trPr>
          <w:jc w:val="center"/>
        </w:trPr>
        <w:tc>
          <w:tcPr>
            <w:tcW w:w="222" w:type="dxa"/>
          </w:tcPr>
          <w:p w:rsidR="004112B4" w:rsidRDefault="004112B4" w:rsidP="004112B4">
            <w:pPr>
              <w:suppressLineNumbers/>
              <w:jc w:val="both"/>
              <w:rPr>
                <w:rFonts w:ascii="Arial" w:hAnsi="Arial"/>
                <w:b/>
                <w:bCs/>
                <w:sz w:val="26"/>
                <w:szCs w:val="26"/>
              </w:rPr>
            </w:pPr>
            <w:bookmarkStart w:id="0" w:name="_GoBack"/>
            <w:bookmarkEnd w:id="0"/>
          </w:p>
        </w:tc>
        <w:tc>
          <w:tcPr>
            <w:tcW w:w="9036" w:type="dxa"/>
            <w:gridSpan w:val="2"/>
          </w:tcPr>
          <w:p w:rsidR="004112B4" w:rsidRDefault="004112B4" w:rsidP="004112B4">
            <w:pPr>
              <w:suppressLineNumbers/>
              <w:rPr>
                <w:rFonts w:ascii="Arial" w:hAnsi="Arial"/>
                <w:b/>
                <w:bCs/>
                <w:sz w:val="26"/>
                <w:szCs w:val="26"/>
                <w:rtl/>
              </w:rPr>
            </w:pPr>
            <w:r>
              <w:rPr>
                <w:rFonts w:ascii="Arial" w:hAnsi="Arial"/>
                <w:b/>
                <w:bCs/>
                <w:sz w:val="26"/>
                <w:szCs w:val="26"/>
                <w:rtl/>
              </w:rPr>
              <w:t>לפני 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אריה נאמן</w:t>
                </w:r>
                <w:r>
                  <w:rPr>
                    <w:sz w:val="26"/>
                    <w:szCs w:val="26"/>
                    <w:rtl/>
                  </w:rPr>
                  <w:br/>
                </w:r>
              </w:sdtContent>
            </w:sdt>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112B4">
              <w:trPr>
                <w:jc w:val="center"/>
              </w:trPr>
              <w:tc>
                <w:tcPr>
                  <w:tcW w:w="3249" w:type="dxa"/>
                </w:tcPr>
                <w:p w:rsidR="004112B4" w:rsidRDefault="004112B4" w:rsidP="004112B4">
                  <w:pPr>
                    <w:suppressLineNumbers/>
                    <w:rPr>
                      <w:rFonts w:ascii="Arial" w:hAnsi="Arial"/>
                      <w:b/>
                      <w:bCs/>
                      <w:sz w:val="26"/>
                      <w:szCs w:val="26"/>
                      <w:rtl/>
                    </w:rPr>
                  </w:pPr>
                </w:p>
                <w:sdt>
                  <w:sdtPr>
                    <w:rPr>
                      <w:rtl/>
                    </w:rPr>
                    <w:alias w:val="1180"/>
                    <w:tag w:val="1180"/>
                    <w:id w:val="637458750"/>
                    <w:text w:multiLine="1"/>
                  </w:sdtPr>
                  <w:sdtEndPr/>
                  <w:sdtContent>
                    <w:p w:rsidR="004112B4" w:rsidRDefault="004112B4" w:rsidP="004112B4">
                      <w:pPr>
                        <w:suppressLineNumbers/>
                        <w:rPr>
                          <w:rFonts w:ascii="Arial" w:hAnsi="Arial"/>
                          <w:b/>
                          <w:bCs/>
                          <w:sz w:val="26"/>
                          <w:szCs w:val="26"/>
                        </w:rPr>
                      </w:pPr>
                      <w:r>
                        <w:rPr>
                          <w:rFonts w:ascii="Arial" w:hAnsi="Arial"/>
                          <w:b/>
                          <w:bCs/>
                          <w:sz w:val="26"/>
                          <w:szCs w:val="26"/>
                          <w:rtl/>
                        </w:rPr>
                        <w:t>המבקש:</w:t>
                      </w:r>
                    </w:p>
                  </w:sdtContent>
                </w:sdt>
              </w:tc>
              <w:tc>
                <w:tcPr>
                  <w:tcW w:w="5571" w:type="dxa"/>
                </w:tcPr>
                <w:p w:rsidR="004112B4" w:rsidRDefault="004112B4" w:rsidP="004112B4">
                  <w:pPr>
                    <w:suppressLineNumbers/>
                    <w:rPr>
                      <w:rFonts w:ascii="Arial" w:hAnsi="Arial"/>
                      <w:b/>
                      <w:bCs/>
                      <w:sz w:val="26"/>
                      <w:szCs w:val="26"/>
                    </w:rPr>
                  </w:pPr>
                </w:p>
                <w:p w:rsidR="004112B4" w:rsidRDefault="005E41FB" w:rsidP="004112B4">
                  <w:pPr>
                    <w:suppressLineNumbers/>
                    <w:rPr>
                      <w:rtl/>
                    </w:rPr>
                  </w:pPr>
                  <w:sdt>
                    <w:sdtPr>
                      <w:rPr>
                        <w:rFonts w:ascii="Arial" w:hAnsi="Arial"/>
                        <w:b/>
                        <w:bCs/>
                        <w:sz w:val="26"/>
                        <w:szCs w:val="26"/>
                        <w:rtl/>
                      </w:rPr>
                      <w:alias w:val="3151"/>
                      <w:tag w:val="3151"/>
                      <w:id w:val="1398553265"/>
                      <w:placeholder>
                        <w:docPart w:val="0C5C9628724344D49B3F37BB08DD9FFC"/>
                      </w:placeholder>
                      <w:text w:multiLine="1"/>
                    </w:sdtPr>
                    <w:sdtEndPr/>
                    <w:sdtContent>
                      <w:r w:rsidR="004112B4">
                        <w:rPr>
                          <w:rFonts w:ascii="Arial" w:hAnsi="Arial"/>
                          <w:b/>
                          <w:bCs/>
                          <w:sz w:val="26"/>
                          <w:szCs w:val="26"/>
                          <w:rtl/>
                        </w:rPr>
                        <w:t xml:space="preserve">מ.כ </w:t>
                      </w:r>
                    </w:sdtContent>
                  </w:sdt>
                  <w:r w:rsidR="004112B4">
                    <w:rPr>
                      <w:rtl/>
                    </w:rPr>
                    <w:t xml:space="preserve"> </w:t>
                  </w:r>
                </w:p>
                <w:p w:rsidR="004112B4" w:rsidRDefault="004112B4" w:rsidP="004112B4">
                  <w:pPr>
                    <w:suppressLineNumbers/>
                    <w:rPr>
                      <w:b/>
                      <w:bCs/>
                      <w:sz w:val="26"/>
                      <w:szCs w:val="26"/>
                      <w:rtl/>
                    </w:rPr>
                  </w:pPr>
                  <w:r>
                    <w:rPr>
                      <w:rFonts w:ascii="Arial" w:hAnsi="Arial"/>
                      <w:b/>
                      <w:bCs/>
                      <w:sz w:val="26"/>
                      <w:szCs w:val="26"/>
                      <w:rtl/>
                    </w:rPr>
                    <w:t>ע"י ב"כ עוה"ד</w:t>
                  </w:r>
                  <w:r>
                    <w:rPr>
                      <w:b/>
                      <w:bCs/>
                      <w:sz w:val="26"/>
                      <w:szCs w:val="26"/>
                      <w:rtl/>
                    </w:rPr>
                    <w:t xml:space="preserve"> סיון טל יחזקאל</w:t>
                  </w:r>
                </w:p>
              </w:tc>
            </w:tr>
            <w:tr w:rsidR="004112B4">
              <w:trPr>
                <w:jc w:val="center"/>
              </w:trPr>
              <w:tc>
                <w:tcPr>
                  <w:tcW w:w="8820" w:type="dxa"/>
                  <w:gridSpan w:val="2"/>
                </w:tcPr>
                <w:p w:rsidR="004112B4" w:rsidRDefault="004112B4" w:rsidP="004112B4">
                  <w:pPr>
                    <w:suppressLineNumbers/>
                    <w:rPr>
                      <w:rFonts w:ascii="Arial" w:hAnsi="Arial"/>
                      <w:b/>
                      <w:bCs/>
                      <w:sz w:val="26"/>
                      <w:szCs w:val="26"/>
                      <w:rtl/>
                    </w:rPr>
                  </w:pPr>
                </w:p>
                <w:p w:rsidR="004112B4" w:rsidRDefault="004112B4" w:rsidP="004112B4">
                  <w:pPr>
                    <w:suppressLineNumbers/>
                    <w:jc w:val="center"/>
                    <w:rPr>
                      <w:rFonts w:ascii="Arial" w:hAnsi="Arial"/>
                      <w:b/>
                      <w:bCs/>
                      <w:sz w:val="26"/>
                      <w:szCs w:val="26"/>
                    </w:rPr>
                  </w:pPr>
                  <w:r>
                    <w:rPr>
                      <w:rFonts w:ascii="Arial" w:hAnsi="Arial"/>
                      <w:b/>
                      <w:bCs/>
                      <w:sz w:val="26"/>
                      <w:szCs w:val="26"/>
                      <w:rtl/>
                    </w:rPr>
                    <w:t>נגד</w:t>
                  </w:r>
                </w:p>
                <w:p w:rsidR="004112B4" w:rsidRDefault="004112B4" w:rsidP="004112B4">
                  <w:pPr>
                    <w:suppressLineNumbers/>
                    <w:rPr>
                      <w:rFonts w:ascii="Arial" w:hAnsi="Arial"/>
                      <w:b/>
                      <w:bCs/>
                      <w:sz w:val="26"/>
                      <w:szCs w:val="26"/>
                      <w:rtl/>
                    </w:rPr>
                  </w:pPr>
                </w:p>
              </w:tc>
            </w:tr>
            <w:tr w:rsidR="004112B4">
              <w:trPr>
                <w:jc w:val="center"/>
              </w:trPr>
              <w:tc>
                <w:tcPr>
                  <w:tcW w:w="3249" w:type="dxa"/>
                  <w:hideMark/>
                </w:tcPr>
                <w:p w:rsidR="004112B4" w:rsidRDefault="005E41FB" w:rsidP="004112B4">
                  <w:pPr>
                    <w:suppressLineNumbers/>
                    <w:rPr>
                      <w:rFonts w:ascii="Arial" w:hAnsi="Arial"/>
                      <w:b/>
                      <w:bCs/>
                      <w:sz w:val="26"/>
                      <w:szCs w:val="26"/>
                      <w:rtl/>
                    </w:rPr>
                  </w:pPr>
                  <w:sdt>
                    <w:sdtPr>
                      <w:rPr>
                        <w:rtl/>
                      </w:rPr>
                      <w:alias w:val="1184"/>
                      <w:tag w:val="1184"/>
                      <w:id w:val="-340621022"/>
                      <w:text w:multiLine="1"/>
                    </w:sdtPr>
                    <w:sdtEndPr/>
                    <w:sdtContent>
                      <w:r w:rsidR="004112B4">
                        <w:rPr>
                          <w:rFonts w:ascii="Arial" w:hAnsi="Arial"/>
                          <w:b/>
                          <w:bCs/>
                          <w:sz w:val="26"/>
                          <w:szCs w:val="26"/>
                          <w:rtl/>
                        </w:rPr>
                        <w:t>המשיבה:</w:t>
                      </w:r>
                    </w:sdtContent>
                  </w:sdt>
                </w:p>
              </w:tc>
              <w:tc>
                <w:tcPr>
                  <w:tcW w:w="5571" w:type="dxa"/>
                  <w:hideMark/>
                </w:tcPr>
                <w:p w:rsidR="004112B4" w:rsidRDefault="004112B4" w:rsidP="004112B4">
                  <w:pPr>
                    <w:suppressLineNumbers/>
                    <w:rPr>
                      <w:rFonts w:ascii="Arial" w:hAnsi="Arial"/>
                      <w:b/>
                      <w:bCs/>
                      <w:sz w:val="26"/>
                      <w:szCs w:val="26"/>
                    </w:rPr>
                  </w:pPr>
                  <w:r>
                    <w:rPr>
                      <w:rFonts w:ascii="Arial" w:hAnsi="Arial"/>
                      <w:b/>
                      <w:bCs/>
                      <w:sz w:val="26"/>
                      <w:szCs w:val="26"/>
                      <w:rtl/>
                    </w:rPr>
                    <w:t xml:space="preserve"> </w:t>
                  </w:r>
                  <w:sdt>
                    <w:sdtPr>
                      <w:rPr>
                        <w:rFonts w:ascii="Arial" w:hAnsi="Arial" w:hint="cs"/>
                        <w:b/>
                        <w:bCs/>
                        <w:sz w:val="26"/>
                        <w:szCs w:val="26"/>
                        <w:rtl/>
                      </w:rPr>
                      <w:alias w:val="3152"/>
                      <w:tag w:val="3152"/>
                      <w:id w:val="1920052440"/>
                      <w:placeholder>
                        <w:docPart w:val="72641E7B6D15465DBEF2707BFF971BD7"/>
                      </w:placeholder>
                      <w:text w:multiLine="1"/>
                    </w:sdtPr>
                    <w:sdtEndPr/>
                    <w:sdtContent>
                      <w:r>
                        <w:rPr>
                          <w:rFonts w:ascii="Arial" w:hAnsi="Arial" w:hint="cs"/>
                          <w:b/>
                          <w:bCs/>
                          <w:sz w:val="26"/>
                          <w:szCs w:val="26"/>
                          <w:rtl/>
                        </w:rPr>
                        <w:t xml:space="preserve">א.כ </w:t>
                      </w:r>
                    </w:sdtContent>
                  </w:sdt>
                  <w:r>
                    <w:rPr>
                      <w:rtl/>
                    </w:rPr>
                    <w:t xml:space="preserve"> </w:t>
                  </w:r>
                </w:p>
                <w:p w:rsidR="004112B4" w:rsidRDefault="004112B4" w:rsidP="004112B4">
                  <w:pPr>
                    <w:suppressLineNumbers/>
                    <w:rPr>
                      <w:noProof/>
                      <w:rtl/>
                    </w:rPr>
                  </w:pPr>
                  <w:r>
                    <w:rPr>
                      <w:rFonts w:ascii="Arial" w:hAnsi="Arial"/>
                      <w:b/>
                      <w:bCs/>
                      <w:sz w:val="26"/>
                      <w:szCs w:val="26"/>
                      <w:rtl/>
                    </w:rPr>
                    <w:t>ע"י ב"כ עוה"ד</w:t>
                  </w:r>
                  <w:r>
                    <w:rPr>
                      <w:noProof/>
                      <w:rtl/>
                    </w:rPr>
                    <w:t xml:space="preserve"> </w:t>
                  </w:r>
                  <w:r>
                    <w:rPr>
                      <w:b/>
                      <w:bCs/>
                      <w:noProof/>
                      <w:rtl/>
                    </w:rPr>
                    <w:t>א</w:t>
                  </w:r>
                  <w:r>
                    <w:rPr>
                      <w:rFonts w:hint="cs"/>
                      <w:b/>
                      <w:bCs/>
                      <w:noProof/>
                      <w:rtl/>
                    </w:rPr>
                    <w:t>ריה אביאב</w:t>
                  </w:r>
                </w:p>
              </w:tc>
            </w:tr>
            <w:tr w:rsidR="004112B4">
              <w:trPr>
                <w:jc w:val="center"/>
              </w:trPr>
              <w:tc>
                <w:tcPr>
                  <w:tcW w:w="8820" w:type="dxa"/>
                  <w:gridSpan w:val="2"/>
                </w:tcPr>
                <w:p w:rsidR="004112B4" w:rsidRDefault="004112B4" w:rsidP="004112B4">
                  <w:pPr>
                    <w:suppressLineNumbers/>
                    <w:rPr>
                      <w:b/>
                      <w:bCs/>
                      <w:rtl/>
                    </w:rPr>
                  </w:pPr>
                </w:p>
                <w:p w:rsidR="004112B4" w:rsidRDefault="004112B4" w:rsidP="004112B4">
                  <w:pPr>
                    <w:suppressLineNumbers/>
                    <w:rPr>
                      <w:b/>
                      <w:bCs/>
                      <w:rtl/>
                    </w:rPr>
                  </w:pPr>
                  <w:r>
                    <w:rPr>
                      <w:b/>
                      <w:bCs/>
                      <w:rtl/>
                    </w:rPr>
                    <w:t>הקטינים:                                                  א.כ</w:t>
                  </w:r>
                </w:p>
                <w:p w:rsidR="004112B4" w:rsidRDefault="004112B4" w:rsidP="004112B4">
                  <w:pPr>
                    <w:suppressLineNumbers/>
                    <w:rPr>
                      <w:b/>
                      <w:bCs/>
                      <w:rtl/>
                    </w:rPr>
                  </w:pPr>
                  <w:r>
                    <w:rPr>
                      <w:b/>
                      <w:bCs/>
                      <w:rtl/>
                    </w:rPr>
                    <w:t xml:space="preserve">                                                                   א.כ</w:t>
                  </w:r>
                </w:p>
                <w:p w:rsidR="004112B4" w:rsidRDefault="004112B4" w:rsidP="004112B4">
                  <w:pPr>
                    <w:suppressLineNumbers/>
                    <w:rPr>
                      <w:rtl/>
                    </w:rPr>
                  </w:pPr>
                  <w:r>
                    <w:rPr>
                      <w:b/>
                      <w:bCs/>
                      <w:rtl/>
                    </w:rPr>
                    <w:t xml:space="preserve">                                                                   א.כ </w:t>
                  </w:r>
                </w:p>
                <w:p w:rsidR="004112B4" w:rsidRDefault="004112B4" w:rsidP="004112B4">
                  <w:pPr>
                    <w:suppressLineNumbers/>
                  </w:pPr>
                </w:p>
              </w:tc>
            </w:tr>
          </w:tbl>
          <w:p w:rsidR="004112B4" w:rsidRDefault="004112B4" w:rsidP="004112B4">
            <w:pPr>
              <w:suppressLineNumbers/>
              <w:rPr>
                <w:rFonts w:ascii="Arial" w:hAnsi="Arial"/>
                <w:sz w:val="26"/>
                <w:szCs w:val="26"/>
                <w:rtl/>
              </w:rPr>
            </w:pPr>
          </w:p>
        </w:tc>
      </w:tr>
      <w:tr w:rsidR="00694556" w:rsidRPr="00DE1E7D" w:rsidTr="004112B4">
        <w:trPr>
          <w:gridAfter w:val="1"/>
          <w:wAfter w:w="438" w:type="dxa"/>
          <w:jc w:val="center"/>
        </w:trPr>
        <w:tc>
          <w:tcPr>
            <w:tcW w:w="8820" w:type="dxa"/>
            <w:gridSpan w:val="2"/>
          </w:tcPr>
          <w:p w:rsidR="00694556" w:rsidRDefault="00180519">
            <w:pPr>
              <w:bidi w:val="0"/>
              <w:jc w:val="center"/>
              <w:rPr>
                <w:rFonts w:ascii="Arial" w:hAnsi="Arial"/>
                <w:b/>
                <w:bCs/>
                <w:sz w:val="28"/>
                <w:szCs w:val="28"/>
                <w:u w:val="single"/>
                <w:rtl/>
              </w:rPr>
            </w:pPr>
            <w:r w:rsidRPr="00D44968">
              <w:rPr>
                <w:rFonts w:ascii="Arial" w:hAnsi="Arial" w:hint="cs"/>
                <w:b/>
                <w:bCs/>
                <w:sz w:val="28"/>
                <w:szCs w:val="28"/>
                <w:u w:val="single"/>
                <w:rtl/>
              </w:rPr>
              <w:t>החלטה</w:t>
            </w:r>
          </w:p>
          <w:p w:rsidR="00D44968" w:rsidRPr="00D44968" w:rsidRDefault="00D44968" w:rsidP="00D44968">
            <w:pPr>
              <w:bidi w:val="0"/>
              <w:jc w:val="center"/>
              <w:rPr>
                <w:rFonts w:ascii="Arial" w:hAnsi="Arial"/>
                <w:b/>
                <w:bCs/>
                <w:sz w:val="28"/>
                <w:szCs w:val="28"/>
                <w:u w:val="single"/>
              </w:rPr>
            </w:pPr>
          </w:p>
        </w:tc>
      </w:tr>
    </w:tbl>
    <w:p w:rsidR="0088140F" w:rsidRPr="0088140F" w:rsidRDefault="0088140F" w:rsidP="0088140F">
      <w:pPr>
        <w:spacing w:line="360" w:lineRule="auto"/>
        <w:jc w:val="both"/>
        <w:rPr>
          <w:rFonts w:ascii="Calibri" w:eastAsia="Calibri" w:hAnsi="Calibri"/>
        </w:rPr>
      </w:pPr>
      <w:bookmarkStart w:id="1" w:name="NGCSBookmark"/>
      <w:bookmarkEnd w:id="1"/>
      <w:r w:rsidRPr="00835CDF">
        <w:rPr>
          <w:rFonts w:ascii="Calibri" w:eastAsia="Calibri" w:hAnsi="Calibri"/>
          <w:rtl/>
        </w:rPr>
        <w:t>בפניי בקשת רשות</w:t>
      </w:r>
      <w:r>
        <w:rPr>
          <w:rFonts w:ascii="Calibri" w:eastAsia="Calibri" w:hAnsi="Calibri"/>
          <w:rtl/>
        </w:rPr>
        <w:t xml:space="preserve"> ערעור על החלטת בימ"ש קמא מיום </w:t>
      </w:r>
      <w:r>
        <w:rPr>
          <w:rFonts w:ascii="Calibri" w:eastAsia="Calibri" w:hAnsi="Calibri" w:hint="cs"/>
          <w:rtl/>
        </w:rPr>
        <w:t>2.8.23</w:t>
      </w:r>
      <w:r>
        <w:rPr>
          <w:rFonts w:ascii="Calibri" w:eastAsia="Calibri" w:hAnsi="Calibri"/>
          <w:rtl/>
        </w:rPr>
        <w:t xml:space="preserve"> (כב' השופט</w:t>
      </w:r>
      <w:r>
        <w:rPr>
          <w:rFonts w:ascii="Calibri" w:eastAsia="Calibri" w:hAnsi="Calibri" w:hint="cs"/>
          <w:rtl/>
        </w:rPr>
        <w:t>ת</w:t>
      </w:r>
      <w:r>
        <w:rPr>
          <w:rFonts w:ascii="Calibri" w:eastAsia="Calibri" w:hAnsi="Calibri"/>
          <w:rtl/>
        </w:rPr>
        <w:t xml:space="preserve"> </w:t>
      </w:r>
      <w:r>
        <w:rPr>
          <w:rFonts w:ascii="Calibri" w:eastAsia="Calibri" w:hAnsi="Calibri" w:hint="cs"/>
          <w:rtl/>
        </w:rPr>
        <w:t>ליאת דהן חיון</w:t>
      </w:r>
      <w:r w:rsidRPr="00835CDF">
        <w:rPr>
          <w:rFonts w:ascii="Calibri" w:eastAsia="Calibri" w:hAnsi="Calibri"/>
          <w:rtl/>
        </w:rPr>
        <w:t>) במסגרת</w:t>
      </w:r>
      <w:r>
        <w:rPr>
          <w:rFonts w:ascii="Calibri" w:eastAsia="Calibri" w:hAnsi="Calibri" w:hint="cs"/>
          <w:rtl/>
        </w:rPr>
        <w:t>ה</w:t>
      </w:r>
      <w:r>
        <w:rPr>
          <w:rFonts w:ascii="Calibri" w:eastAsia="Calibri" w:hAnsi="Calibri"/>
          <w:rtl/>
        </w:rPr>
        <w:t xml:space="preserve"> </w:t>
      </w:r>
      <w:r>
        <w:rPr>
          <w:rFonts w:ascii="Calibri" w:eastAsia="Calibri" w:hAnsi="Calibri" w:hint="cs"/>
          <w:rtl/>
        </w:rPr>
        <w:t xml:space="preserve">הורתה על עריכת אבחון פסיכו-דיאגנוסטי (להלן: </w:t>
      </w:r>
      <w:r w:rsidRPr="0088140F">
        <w:rPr>
          <w:rFonts w:ascii="Calibri" w:eastAsia="Calibri" w:hAnsi="Calibri" w:hint="cs"/>
          <w:b/>
          <w:bCs/>
          <w:rtl/>
        </w:rPr>
        <w:t>"האבחון"</w:t>
      </w:r>
      <w:r>
        <w:rPr>
          <w:rFonts w:ascii="Calibri" w:eastAsia="Calibri" w:hAnsi="Calibri" w:hint="cs"/>
          <w:rtl/>
        </w:rPr>
        <w:t xml:space="preserve">) לשלושת הקטינים בהתאם להמלצת ועדת תסקירים </w:t>
      </w:r>
      <w:r w:rsidR="005120DB" w:rsidRPr="00FA5FC3">
        <w:rPr>
          <w:rFonts w:ascii="Calibri" w:eastAsia="Calibri" w:hAnsi="Calibri" w:hint="cs"/>
          <w:b/>
          <w:bCs/>
          <w:rtl/>
        </w:rPr>
        <w:t>ו</w:t>
      </w:r>
      <w:r w:rsidRPr="00FA5FC3">
        <w:rPr>
          <w:rFonts w:ascii="Calibri" w:eastAsia="Calibri" w:hAnsi="Calibri" w:hint="cs"/>
          <w:b/>
          <w:bCs/>
          <w:rtl/>
        </w:rPr>
        <w:t>למרות התנגדות המבקש</w:t>
      </w:r>
      <w:r>
        <w:rPr>
          <w:rFonts w:ascii="Calibri" w:eastAsia="Calibri" w:hAnsi="Calibri" w:hint="cs"/>
          <w:rtl/>
        </w:rPr>
        <w:t xml:space="preserve">. </w:t>
      </w:r>
    </w:p>
    <w:p w:rsidR="0088140F" w:rsidRDefault="0088140F" w:rsidP="00BA7BF1">
      <w:pPr>
        <w:spacing w:line="360" w:lineRule="auto"/>
        <w:jc w:val="both"/>
        <w:rPr>
          <w:rFonts w:ascii="Aharoni" w:eastAsia="Calibri" w:hAnsi="Aharoni" w:cs="Aharoni"/>
        </w:rPr>
      </w:pPr>
      <w:r>
        <w:rPr>
          <w:rFonts w:ascii="Aharoni" w:eastAsia="Calibri" w:hAnsi="Aharoni" w:cs="Aharoni"/>
          <w:rtl/>
        </w:rPr>
        <w:t>[</w:t>
      </w:r>
      <w:r>
        <w:rPr>
          <w:rFonts w:ascii="Aharoni" w:eastAsia="Calibri" w:hAnsi="Aharoni" w:cs="Aharoni"/>
          <w:b/>
          <w:bCs/>
          <w:u w:val="single"/>
          <w:rtl/>
        </w:rPr>
        <w:t>הערה</w:t>
      </w:r>
      <w:r>
        <w:rPr>
          <w:rFonts w:ascii="Aharoni" w:eastAsia="Calibri" w:hAnsi="Aharoni" w:cs="Aharoni"/>
          <w:rtl/>
        </w:rPr>
        <w:t>: ההדגשות בציטוטים שיובאו בפסה"ד להלן, אינן במקור ונועדו לשם ההדגשה בלבד]</w:t>
      </w:r>
    </w:p>
    <w:p w:rsidR="0088140F" w:rsidRPr="00BA7BF1" w:rsidRDefault="0088140F" w:rsidP="00835CDF">
      <w:pPr>
        <w:spacing w:line="360" w:lineRule="auto"/>
        <w:ind w:left="84"/>
        <w:jc w:val="both"/>
        <w:rPr>
          <w:rFonts w:ascii="Arial" w:eastAsia="Calibri" w:hAnsi="Arial"/>
          <w:b/>
          <w:bCs/>
        </w:rPr>
      </w:pPr>
    </w:p>
    <w:p w:rsidR="0088140F" w:rsidRDefault="0088140F" w:rsidP="005120DB">
      <w:pPr>
        <w:spacing w:line="360" w:lineRule="auto"/>
        <w:jc w:val="both"/>
        <w:rPr>
          <w:rFonts w:ascii="Arial" w:eastAsia="Calibri" w:hAnsi="Arial"/>
          <w:b/>
          <w:bCs/>
          <w:rtl/>
        </w:rPr>
      </w:pPr>
      <w:r w:rsidRPr="00022A83">
        <w:rPr>
          <w:rFonts w:ascii="Arial" w:eastAsia="Calibri" w:hAnsi="Arial"/>
          <w:b/>
          <w:bCs/>
          <w:rtl/>
        </w:rPr>
        <w:t>לאחר עיון בבקשת רשות הערעור על נספחיה ובתיק קמא, ומכח סמכותי על פי תקנות 138(א)(1)(5) לתקנות סדר הדין האזרחי, ת</w:t>
      </w:r>
      <w:r w:rsidR="005120DB">
        <w:rPr>
          <w:rFonts w:ascii="Arial" w:eastAsia="Calibri" w:hAnsi="Arial"/>
          <w:b/>
          <w:bCs/>
          <w:rtl/>
        </w:rPr>
        <w:t>שע"ט-2018</w:t>
      </w:r>
      <w:r w:rsidR="005120DB">
        <w:rPr>
          <w:rFonts w:ascii="Arial" w:eastAsia="Calibri" w:hAnsi="Arial" w:hint="cs"/>
          <w:b/>
          <w:bCs/>
          <w:rtl/>
        </w:rPr>
        <w:t>,</w:t>
      </w:r>
      <w:r>
        <w:rPr>
          <w:rFonts w:ascii="Arial" w:eastAsia="Calibri" w:hAnsi="Arial" w:hint="cs"/>
          <w:b/>
          <w:bCs/>
          <w:rtl/>
        </w:rPr>
        <w:t xml:space="preserve"> </w:t>
      </w:r>
      <w:r w:rsidRPr="00022A83">
        <w:rPr>
          <w:rFonts w:ascii="David" w:eastAsia="Calibri" w:hAnsi="David"/>
          <w:b/>
          <w:bCs/>
          <w:rtl/>
        </w:rPr>
        <w:t>אשר הוחלו גם על בקשות רשות ערעור בענייני משפחה מכוח</w:t>
      </w:r>
      <w:r w:rsidRPr="00022A83">
        <w:rPr>
          <w:rFonts w:ascii="Garamond" w:eastAsia="Calibri" w:hAnsi="Garamond"/>
          <w:b/>
          <w:bCs/>
          <w:rtl/>
        </w:rPr>
        <w:t xml:space="preserve"> </w:t>
      </w:r>
      <w:r w:rsidRPr="00022A83">
        <w:rPr>
          <w:rFonts w:ascii="David" w:eastAsia="Calibri" w:hAnsi="David"/>
          <w:b/>
          <w:bCs/>
          <w:rtl/>
        </w:rPr>
        <w:t>תקנה 44 ל</w:t>
      </w:r>
      <w:hyperlink r:id="rId11" w:history="1">
        <w:r w:rsidRPr="00022A83">
          <w:rPr>
            <w:rFonts w:ascii="David" w:eastAsia="Calibri" w:hAnsi="David"/>
            <w:b/>
            <w:bCs/>
            <w:rtl/>
          </w:rPr>
          <w:t>תקנות בית המשפט לענייני משפחה (סדרי דין), התשפ"א-2020</w:t>
        </w:r>
      </w:hyperlink>
      <w:r w:rsidRPr="00022A83">
        <w:rPr>
          <w:rFonts w:ascii="David" w:eastAsia="Calibri" w:hAnsi="David"/>
          <w:b/>
          <w:bCs/>
          <w:rtl/>
        </w:rPr>
        <w:t>,</w:t>
      </w:r>
      <w:r>
        <w:rPr>
          <w:rFonts w:ascii="David" w:eastAsia="Calibri" w:hAnsi="David" w:hint="cs"/>
          <w:b/>
          <w:bCs/>
          <w:rtl/>
        </w:rPr>
        <w:t xml:space="preserve"> </w:t>
      </w:r>
      <w:r w:rsidRPr="00022A83">
        <w:rPr>
          <w:rFonts w:ascii="Arial" w:eastAsia="Calibri" w:hAnsi="Arial"/>
          <w:b/>
          <w:bCs/>
          <w:rtl/>
        </w:rPr>
        <w:t xml:space="preserve">שוכנעתי לדחות את הבקשה אף ללא צורך בתשובה, מהטעמים שיפורטו. </w:t>
      </w:r>
    </w:p>
    <w:p w:rsidR="00723AC6" w:rsidRDefault="00723AC6" w:rsidP="005120DB">
      <w:pPr>
        <w:spacing w:line="360" w:lineRule="auto"/>
        <w:jc w:val="both"/>
        <w:rPr>
          <w:rFonts w:ascii="Arial" w:eastAsia="Calibri" w:hAnsi="Arial"/>
          <w:b/>
          <w:bCs/>
          <w:rtl/>
        </w:rPr>
      </w:pPr>
    </w:p>
    <w:p w:rsidR="00723AC6" w:rsidRPr="00723AC6" w:rsidRDefault="00723AC6" w:rsidP="008B3CB5">
      <w:pPr>
        <w:spacing w:line="360" w:lineRule="auto"/>
        <w:jc w:val="both"/>
        <w:rPr>
          <w:rFonts w:ascii="Arial" w:eastAsia="Calibri" w:hAnsi="Arial"/>
          <w:rtl/>
        </w:rPr>
      </w:pPr>
      <w:r>
        <w:rPr>
          <w:rFonts w:ascii="Arial" w:eastAsia="Calibri" w:hAnsi="Arial" w:hint="cs"/>
          <w:b/>
          <w:bCs/>
          <w:rtl/>
        </w:rPr>
        <w:t xml:space="preserve">הערה: </w:t>
      </w:r>
      <w:r w:rsidRPr="008B3CB5">
        <w:rPr>
          <w:rFonts w:ascii="Arial" w:eastAsia="Calibri" w:hAnsi="Arial" w:cs="Arial"/>
          <w:sz w:val="22"/>
          <w:szCs w:val="22"/>
          <w:rtl/>
        </w:rPr>
        <w:t>בקשת רשות הערעור הוגש</w:t>
      </w:r>
      <w:r w:rsidR="008B3CB5" w:rsidRPr="008B3CB5">
        <w:rPr>
          <w:rFonts w:ascii="Arial" w:eastAsia="Calibri" w:hAnsi="Arial" w:cs="Arial"/>
          <w:sz w:val="22"/>
          <w:szCs w:val="22"/>
          <w:rtl/>
        </w:rPr>
        <w:t>ה</w:t>
      </w:r>
      <w:r w:rsidRPr="008B3CB5">
        <w:rPr>
          <w:rFonts w:ascii="Arial" w:eastAsia="Calibri" w:hAnsi="Arial" w:cs="Arial"/>
          <w:sz w:val="22"/>
          <w:szCs w:val="22"/>
          <w:rtl/>
        </w:rPr>
        <w:t xml:space="preserve"> ביום 18.9.23 ברם הועלתה אלי רק היום 6.11.23 שכן המבקש שילם האגרה והפקיד העירבון רק היום, לאחר שבקשתו לפט</w:t>
      </w:r>
      <w:r w:rsidR="008B3CB5" w:rsidRPr="008B3CB5">
        <w:rPr>
          <w:rFonts w:ascii="Arial" w:eastAsia="Calibri" w:hAnsi="Arial" w:cs="Arial"/>
          <w:sz w:val="22"/>
          <w:szCs w:val="22"/>
          <w:rtl/>
        </w:rPr>
        <w:t xml:space="preserve">ור נדחתה </w:t>
      </w:r>
      <w:r w:rsidR="008B3CB5">
        <w:rPr>
          <w:rFonts w:ascii="Arial" w:eastAsia="Calibri" w:hAnsi="Arial" w:cs="Arial" w:hint="cs"/>
          <w:sz w:val="22"/>
          <w:szCs w:val="22"/>
          <w:rtl/>
        </w:rPr>
        <w:t xml:space="preserve">ע"י רשמת ביהמ"ש </w:t>
      </w:r>
      <w:r w:rsidR="008B3CB5" w:rsidRPr="008B3CB5">
        <w:rPr>
          <w:rFonts w:ascii="Arial" w:eastAsia="Calibri" w:hAnsi="Arial" w:cs="Arial"/>
          <w:sz w:val="22"/>
          <w:szCs w:val="22"/>
          <w:rtl/>
        </w:rPr>
        <w:t>וקיבל אורכה לתשלום</w:t>
      </w:r>
      <w:r w:rsidR="008B3CB5">
        <w:rPr>
          <w:rFonts w:ascii="Arial" w:eastAsia="Calibri" w:hAnsi="Arial" w:hint="cs"/>
          <w:rtl/>
        </w:rPr>
        <w:t xml:space="preserve"> לבקשתו.</w:t>
      </w:r>
    </w:p>
    <w:p w:rsidR="0088140F" w:rsidRPr="00022A83" w:rsidRDefault="0088140F" w:rsidP="00022A83">
      <w:pPr>
        <w:spacing w:line="360" w:lineRule="auto"/>
        <w:ind w:left="84"/>
        <w:jc w:val="both"/>
        <w:rPr>
          <w:rFonts w:ascii="Arial" w:eastAsia="Calibri" w:hAnsi="Arial"/>
          <w:rtl/>
        </w:rPr>
      </w:pPr>
    </w:p>
    <w:p w:rsidR="00FA5FC3" w:rsidRDefault="0033683A" w:rsidP="00106F3B">
      <w:pPr>
        <w:pStyle w:val="affffc"/>
        <w:numPr>
          <w:ilvl w:val="0"/>
          <w:numId w:val="11"/>
        </w:numPr>
        <w:spacing w:line="360" w:lineRule="auto"/>
        <w:jc w:val="both"/>
        <w:rPr>
          <w:rFonts w:ascii="Arial" w:eastAsia="Calibri" w:hAnsi="Arial"/>
        </w:rPr>
      </w:pPr>
      <w:r>
        <w:rPr>
          <w:rFonts w:ascii="Arial" w:eastAsia="Calibri" w:hAnsi="Arial" w:hint="cs"/>
          <w:rtl/>
        </w:rPr>
        <w:t xml:space="preserve">ראשית יצוין כי </w:t>
      </w:r>
      <w:r w:rsidR="006535C2">
        <w:rPr>
          <w:rFonts w:ascii="Arial" w:eastAsia="Calibri" w:hAnsi="Arial" w:hint="cs"/>
          <w:rtl/>
        </w:rPr>
        <w:t xml:space="preserve">דין בקשת רשות הערעור להידחות על הסף מבלי לדון לגופה, </w:t>
      </w:r>
      <w:r w:rsidR="006535C2" w:rsidRPr="009251ED">
        <w:rPr>
          <w:rFonts w:ascii="Arial" w:eastAsia="Calibri" w:hAnsi="Arial" w:hint="cs"/>
          <w:b/>
          <w:bCs/>
          <w:rtl/>
        </w:rPr>
        <w:t xml:space="preserve">וזאת בשל השיהוי </w:t>
      </w:r>
      <w:r w:rsidR="003F543F">
        <w:rPr>
          <w:rFonts w:ascii="Arial" w:eastAsia="Calibri" w:hAnsi="Arial" w:hint="cs"/>
          <w:b/>
          <w:bCs/>
          <w:rtl/>
        </w:rPr>
        <w:t xml:space="preserve">המשמעותי </w:t>
      </w:r>
      <w:r w:rsidR="006535C2" w:rsidRPr="009251ED">
        <w:rPr>
          <w:rFonts w:ascii="Arial" w:eastAsia="Calibri" w:hAnsi="Arial" w:hint="cs"/>
          <w:b/>
          <w:bCs/>
          <w:rtl/>
        </w:rPr>
        <w:t>הניכר בהגשתה</w:t>
      </w:r>
      <w:r w:rsidR="009251ED">
        <w:rPr>
          <w:rFonts w:ascii="Arial" w:eastAsia="Calibri" w:hAnsi="Arial" w:hint="cs"/>
          <w:b/>
          <w:bCs/>
          <w:rtl/>
        </w:rPr>
        <w:t xml:space="preserve"> </w:t>
      </w:r>
      <w:r w:rsidR="009251ED">
        <w:rPr>
          <w:rFonts w:ascii="Arial" w:eastAsia="Calibri" w:hAnsi="Arial"/>
          <w:b/>
          <w:bCs/>
          <w:rtl/>
        </w:rPr>
        <w:t>–</w:t>
      </w:r>
      <w:r w:rsidR="009251ED">
        <w:rPr>
          <w:rFonts w:ascii="Arial" w:eastAsia="Calibri" w:hAnsi="Arial" w:hint="cs"/>
          <w:b/>
          <w:bCs/>
          <w:rtl/>
        </w:rPr>
        <w:t xml:space="preserve"> מעל חודש וחצי מאז ניתנה ההחלטה מושא הערעור </w:t>
      </w:r>
      <w:r w:rsidR="009251ED" w:rsidRPr="003F543F">
        <w:rPr>
          <w:rFonts w:ascii="Arial" w:eastAsia="Calibri" w:hAnsi="Arial" w:hint="cs"/>
          <w:b/>
          <w:bCs/>
          <w:u w:val="single"/>
          <w:rtl/>
        </w:rPr>
        <w:t>ו</w:t>
      </w:r>
      <w:r w:rsidR="00723AC6" w:rsidRPr="003F543F">
        <w:rPr>
          <w:rFonts w:ascii="Arial" w:eastAsia="Calibri" w:hAnsi="Arial" w:hint="cs"/>
          <w:b/>
          <w:bCs/>
          <w:u w:val="single"/>
          <w:rtl/>
        </w:rPr>
        <w:t>ערב ה</w:t>
      </w:r>
      <w:r w:rsidR="009251ED" w:rsidRPr="003F543F">
        <w:rPr>
          <w:rFonts w:ascii="Arial" w:eastAsia="Calibri" w:hAnsi="Arial" w:hint="cs"/>
          <w:b/>
          <w:bCs/>
          <w:u w:val="single"/>
          <w:rtl/>
        </w:rPr>
        <w:t>יום שנועד לביצוע ההחלטה</w:t>
      </w:r>
      <w:r w:rsidR="00FA5FC3">
        <w:rPr>
          <w:rFonts w:ascii="Arial" w:eastAsia="Calibri" w:hAnsi="Arial" w:hint="cs"/>
          <w:rtl/>
        </w:rPr>
        <w:t xml:space="preserve"> </w:t>
      </w:r>
      <w:r w:rsidR="00FA5FC3" w:rsidRPr="00FA5FC3">
        <w:rPr>
          <w:rFonts w:ascii="Arial" w:eastAsia="Calibri" w:hAnsi="Arial" w:hint="cs"/>
          <w:b/>
          <w:bCs/>
          <w:rtl/>
        </w:rPr>
        <w:t xml:space="preserve">תוך שבמקביל הגיש בקשה לעיכוב ביצוע החלטת בימ"ש קמא, </w:t>
      </w:r>
      <w:r w:rsidR="00FA5FC3" w:rsidRPr="00FA5FC3">
        <w:rPr>
          <w:rFonts w:ascii="Arial" w:eastAsia="Calibri" w:hAnsi="Arial" w:hint="cs"/>
          <w:b/>
          <w:bCs/>
          <w:u w:val="single"/>
          <w:rtl/>
        </w:rPr>
        <w:t>הכל ערב המועד שנועד לביצוע ההחלטה</w:t>
      </w:r>
      <w:r w:rsidR="00106F3B">
        <w:rPr>
          <w:rFonts w:ascii="Arial" w:eastAsia="Calibri" w:hAnsi="Arial" w:hint="cs"/>
          <w:rtl/>
        </w:rPr>
        <w:t>, הכל כמפורט להלן:</w:t>
      </w:r>
    </w:p>
    <w:p w:rsidR="00BC4CB2" w:rsidRDefault="0033683A" w:rsidP="00106F3B">
      <w:pPr>
        <w:pStyle w:val="affffc"/>
        <w:numPr>
          <w:ilvl w:val="0"/>
          <w:numId w:val="11"/>
        </w:numPr>
        <w:spacing w:line="360" w:lineRule="auto"/>
        <w:jc w:val="both"/>
        <w:rPr>
          <w:rFonts w:ascii="Arial" w:eastAsia="Calibri" w:hAnsi="Arial"/>
        </w:rPr>
      </w:pPr>
      <w:r>
        <w:rPr>
          <w:rFonts w:ascii="Arial" w:eastAsia="Calibri" w:hAnsi="Arial" w:hint="cs"/>
          <w:rtl/>
        </w:rPr>
        <w:t xml:space="preserve">ההחלטה </w:t>
      </w:r>
      <w:r w:rsidR="00106F3B">
        <w:rPr>
          <w:rFonts w:ascii="Arial" w:eastAsia="Calibri" w:hAnsi="Arial" w:hint="cs"/>
          <w:rtl/>
        </w:rPr>
        <w:t xml:space="preserve">מושא הערעור </w:t>
      </w:r>
      <w:r>
        <w:rPr>
          <w:rFonts w:ascii="Arial" w:eastAsia="Calibri" w:hAnsi="Arial" w:hint="cs"/>
          <w:rtl/>
        </w:rPr>
        <w:t xml:space="preserve">על עריכת האבחון </w:t>
      </w:r>
      <w:r w:rsidR="009251ED">
        <w:rPr>
          <w:rFonts w:ascii="Arial" w:eastAsia="Calibri" w:hAnsi="Arial" w:hint="cs"/>
          <w:rtl/>
        </w:rPr>
        <w:t>נ</w:t>
      </w:r>
      <w:r>
        <w:rPr>
          <w:rFonts w:ascii="Arial" w:eastAsia="Calibri" w:hAnsi="Arial" w:hint="cs"/>
          <w:rtl/>
        </w:rPr>
        <w:t>יתנה ביום 2.8.23</w:t>
      </w:r>
      <w:r w:rsidR="009251ED">
        <w:rPr>
          <w:rFonts w:ascii="Arial" w:eastAsia="Calibri" w:hAnsi="Arial" w:hint="cs"/>
          <w:rtl/>
        </w:rPr>
        <w:t xml:space="preserve">, </w:t>
      </w:r>
      <w:r>
        <w:rPr>
          <w:rFonts w:ascii="Arial" w:eastAsia="Calibri" w:hAnsi="Arial" w:hint="cs"/>
          <w:rtl/>
        </w:rPr>
        <w:t xml:space="preserve">תוך שביהמ"ש קבע </w:t>
      </w:r>
      <w:r w:rsidR="009251ED">
        <w:rPr>
          <w:rFonts w:ascii="Arial" w:eastAsia="Calibri" w:hAnsi="Arial" w:hint="cs"/>
          <w:rtl/>
        </w:rPr>
        <w:t xml:space="preserve">בהחלטתו </w:t>
      </w:r>
      <w:r>
        <w:rPr>
          <w:rFonts w:ascii="Arial" w:eastAsia="Calibri" w:hAnsi="Arial" w:hint="cs"/>
          <w:rtl/>
        </w:rPr>
        <w:t>כי בתוך 10 ימים יפעלו הצדדים לתאום האבחון</w:t>
      </w:r>
      <w:r w:rsidR="009251ED">
        <w:rPr>
          <w:rFonts w:ascii="Arial" w:eastAsia="Calibri" w:hAnsi="Arial" w:hint="cs"/>
          <w:rtl/>
        </w:rPr>
        <w:t>,</w:t>
      </w:r>
      <w:r>
        <w:rPr>
          <w:rFonts w:ascii="Arial" w:eastAsia="Calibri" w:hAnsi="Arial" w:hint="cs"/>
          <w:rtl/>
        </w:rPr>
        <w:t xml:space="preserve"> המלצות המכון יוגשו לתיק ביהמ"ש תוך 45 ימים, לאחר מכן תתכנס ועדת התסקירים והמלצותיה יוגשו לתיק תוך 15 ימים מיום קבלת המלצות המכון</w:t>
      </w:r>
      <w:r w:rsidR="00BC4CB2">
        <w:rPr>
          <w:rFonts w:ascii="Arial" w:eastAsia="Calibri" w:hAnsi="Arial" w:hint="cs"/>
          <w:rtl/>
        </w:rPr>
        <w:t>.</w:t>
      </w:r>
    </w:p>
    <w:p w:rsidR="00842DD1" w:rsidRDefault="0033683A" w:rsidP="00BC4CB2">
      <w:pPr>
        <w:pStyle w:val="affffc"/>
        <w:spacing w:line="360" w:lineRule="auto"/>
        <w:jc w:val="both"/>
        <w:rPr>
          <w:rFonts w:ascii="Arial" w:eastAsia="Calibri" w:hAnsi="Arial"/>
        </w:rPr>
      </w:pPr>
      <w:r>
        <w:rPr>
          <w:rFonts w:ascii="Arial" w:eastAsia="Calibri" w:hAnsi="Arial" w:hint="cs"/>
          <w:rtl/>
        </w:rPr>
        <w:lastRenderedPageBreak/>
        <w:t xml:space="preserve">כמעט כל תקופת הימים </w:t>
      </w:r>
      <w:r w:rsidR="009251ED">
        <w:rPr>
          <w:rFonts w:ascii="Arial" w:eastAsia="Calibri" w:hAnsi="Arial" w:hint="cs"/>
          <w:rtl/>
        </w:rPr>
        <w:t>הראשונה</w:t>
      </w:r>
      <w:r w:rsidR="00BC4CB2">
        <w:rPr>
          <w:rFonts w:ascii="Arial" w:eastAsia="Calibri" w:hAnsi="Arial" w:hint="cs"/>
          <w:rtl/>
        </w:rPr>
        <w:t xml:space="preserve"> (10 הימים לתיאום האבחון+45 הימים להגשת ההמלצות)</w:t>
      </w:r>
      <w:r w:rsidR="009251ED">
        <w:rPr>
          <w:rFonts w:ascii="Arial" w:eastAsia="Calibri" w:hAnsi="Arial" w:hint="cs"/>
          <w:rtl/>
        </w:rPr>
        <w:t xml:space="preserve"> הייתה אמורה לחלוף, </w:t>
      </w:r>
      <w:r>
        <w:rPr>
          <w:rFonts w:ascii="Arial" w:eastAsia="Calibri" w:hAnsi="Arial" w:hint="cs"/>
          <w:rtl/>
        </w:rPr>
        <w:t xml:space="preserve">ואכן כבר בסמוך למתן ההחלטה קיימת פעילות בתיק קמא, כאשר </w:t>
      </w:r>
      <w:r w:rsidR="00A2315E">
        <w:rPr>
          <w:rFonts w:ascii="Arial" w:eastAsia="Calibri" w:hAnsi="Arial" w:hint="cs"/>
          <w:rtl/>
        </w:rPr>
        <w:t>בין היתר ביום 22.8.23 ה</w:t>
      </w:r>
      <w:r w:rsidR="00723AC6">
        <w:rPr>
          <w:rFonts w:ascii="Arial" w:eastAsia="Calibri" w:hAnsi="Arial" w:hint="cs"/>
          <w:rtl/>
        </w:rPr>
        <w:t xml:space="preserve">ודיעה </w:t>
      </w:r>
      <w:r w:rsidR="00A2315E">
        <w:rPr>
          <w:rFonts w:ascii="Arial" w:eastAsia="Calibri" w:hAnsi="Arial" w:hint="cs"/>
          <w:rtl/>
        </w:rPr>
        <w:t>המשיבה לבימ"ש כי המבקש איננו משתף פעולה בדבר תאום המועדים</w:t>
      </w:r>
      <w:r w:rsidR="00723AC6">
        <w:rPr>
          <w:rFonts w:ascii="Arial" w:eastAsia="Calibri" w:hAnsi="Arial" w:hint="cs"/>
          <w:rtl/>
        </w:rPr>
        <w:t xml:space="preserve">; </w:t>
      </w:r>
      <w:r w:rsidR="00723AC6" w:rsidRPr="009E6090">
        <w:rPr>
          <w:rFonts w:ascii="Arial" w:eastAsia="Calibri" w:hAnsi="Arial" w:hint="cs"/>
          <w:b/>
          <w:bCs/>
          <w:rtl/>
        </w:rPr>
        <w:t>בסופו של יום נקבע מועד לאבחון ליום 19/9</w:t>
      </w:r>
      <w:r w:rsidR="00106F3B">
        <w:rPr>
          <w:rFonts w:ascii="Arial" w:eastAsia="Calibri" w:hAnsi="Arial" w:hint="cs"/>
          <w:b/>
          <w:bCs/>
          <w:rtl/>
        </w:rPr>
        <w:t xml:space="preserve"> כאשר </w:t>
      </w:r>
      <w:r w:rsidR="009E6090" w:rsidRPr="009E6090">
        <w:rPr>
          <w:rFonts w:ascii="Arial" w:eastAsia="Calibri" w:hAnsi="Arial" w:hint="cs"/>
          <w:b/>
          <w:bCs/>
          <w:rtl/>
        </w:rPr>
        <w:t>ביום 23/8 ניתנה החלטה המחייבת את האב להתייצב למועד האבחון הנ"ל</w:t>
      </w:r>
      <w:r w:rsidR="009E6090">
        <w:rPr>
          <w:rFonts w:ascii="Arial" w:eastAsia="Calibri" w:hAnsi="Arial" w:hint="cs"/>
          <w:rtl/>
        </w:rPr>
        <w:t>; והנה ר</w:t>
      </w:r>
      <w:r w:rsidR="00723AC6">
        <w:rPr>
          <w:rFonts w:ascii="Arial" w:eastAsia="Calibri" w:hAnsi="Arial" w:hint="cs"/>
          <w:rtl/>
        </w:rPr>
        <w:t xml:space="preserve">ק ערב </w:t>
      </w:r>
      <w:r w:rsidR="009E6090">
        <w:rPr>
          <w:rFonts w:ascii="Arial" w:eastAsia="Calibri" w:hAnsi="Arial" w:hint="cs"/>
          <w:rtl/>
        </w:rPr>
        <w:t xml:space="preserve">מועד האבחון, </w:t>
      </w:r>
      <w:r w:rsidR="00723AC6">
        <w:rPr>
          <w:rFonts w:ascii="Arial" w:eastAsia="Calibri" w:hAnsi="Arial" w:hint="cs"/>
          <w:rtl/>
        </w:rPr>
        <w:t>ביום 18/9</w:t>
      </w:r>
      <w:r w:rsidR="008B3CB5">
        <w:rPr>
          <w:rFonts w:ascii="Arial" w:eastAsia="Calibri" w:hAnsi="Arial" w:hint="cs"/>
          <w:rtl/>
        </w:rPr>
        <w:t xml:space="preserve">, טרח </w:t>
      </w:r>
      <w:r w:rsidR="009E6090">
        <w:rPr>
          <w:rFonts w:ascii="Arial" w:eastAsia="Calibri" w:hAnsi="Arial" w:hint="cs"/>
          <w:rtl/>
        </w:rPr>
        <w:t xml:space="preserve">המבקש </w:t>
      </w:r>
      <w:r w:rsidR="008B3CB5">
        <w:rPr>
          <w:rFonts w:ascii="Arial" w:eastAsia="Calibri" w:hAnsi="Arial" w:hint="cs"/>
          <w:rtl/>
        </w:rPr>
        <w:t>להגיש את בקשת רשות ערעור זו</w:t>
      </w:r>
      <w:r w:rsidR="009E6090">
        <w:rPr>
          <w:rFonts w:ascii="Arial" w:eastAsia="Calibri" w:hAnsi="Arial" w:hint="cs"/>
          <w:rtl/>
        </w:rPr>
        <w:t>, תוך שבמקביל הגיש בקשה לעיכוב ביצוע ההחלטה (בקשה שנדחתה ע"י רשמת ביהמ"ש בדיוק מהנימוק הזה של השיהוי הרב בהתנהלותו של המבקש)</w:t>
      </w:r>
      <w:r w:rsidR="008B3CB5">
        <w:rPr>
          <w:rFonts w:ascii="Arial" w:eastAsia="Calibri" w:hAnsi="Arial" w:hint="cs"/>
          <w:rtl/>
        </w:rPr>
        <w:t xml:space="preserve">, כאשר למחרת 19/9 </w:t>
      </w:r>
      <w:r w:rsidR="00A2315E">
        <w:rPr>
          <w:rFonts w:ascii="Arial" w:eastAsia="Calibri" w:hAnsi="Arial" w:hint="cs"/>
          <w:rtl/>
        </w:rPr>
        <w:t>לא התייצב המבקש בטענה שהינו חולה</w:t>
      </w:r>
      <w:r w:rsidR="00106F3B">
        <w:rPr>
          <w:rFonts w:ascii="Arial" w:eastAsia="Calibri" w:hAnsi="Arial" w:hint="cs"/>
          <w:rtl/>
        </w:rPr>
        <w:t xml:space="preserve"> ובגין כך </w:t>
      </w:r>
      <w:r w:rsidR="00A2315E">
        <w:rPr>
          <w:rFonts w:ascii="Arial" w:eastAsia="Calibri" w:hAnsi="Arial" w:hint="cs"/>
          <w:rtl/>
        </w:rPr>
        <w:t>חויב</w:t>
      </w:r>
      <w:r w:rsidR="00106F3B">
        <w:rPr>
          <w:rFonts w:ascii="Arial" w:eastAsia="Calibri" w:hAnsi="Arial" w:hint="cs"/>
          <w:rtl/>
        </w:rPr>
        <w:t xml:space="preserve"> המבקש</w:t>
      </w:r>
      <w:r w:rsidR="00A2315E">
        <w:rPr>
          <w:rFonts w:ascii="Arial" w:eastAsia="Calibri" w:hAnsi="Arial" w:hint="cs"/>
          <w:rtl/>
        </w:rPr>
        <w:t xml:space="preserve"> בהוצאות</w:t>
      </w:r>
      <w:r w:rsidR="00BC4CB2">
        <w:rPr>
          <w:rFonts w:ascii="Arial" w:eastAsia="Calibri" w:hAnsi="Arial" w:hint="cs"/>
          <w:rtl/>
        </w:rPr>
        <w:t xml:space="preserve"> (</w:t>
      </w:r>
      <w:r w:rsidR="00A2315E">
        <w:rPr>
          <w:rFonts w:ascii="Arial" w:eastAsia="Calibri" w:hAnsi="Arial" w:hint="cs"/>
          <w:rtl/>
        </w:rPr>
        <w:t>אשר נידונו בבקשת רשות ערעור מקבילה לרשות ערעור זו</w:t>
      </w:r>
      <w:r w:rsidR="00BC4CB2">
        <w:rPr>
          <w:rFonts w:ascii="Arial" w:eastAsia="Calibri" w:hAnsi="Arial" w:hint="cs"/>
          <w:rtl/>
        </w:rPr>
        <w:t>)</w:t>
      </w:r>
      <w:r w:rsidR="008B3CB5">
        <w:rPr>
          <w:rFonts w:ascii="Arial" w:eastAsia="Calibri" w:hAnsi="Arial" w:hint="cs"/>
          <w:rtl/>
        </w:rPr>
        <w:t>;</w:t>
      </w:r>
      <w:r w:rsidR="00A2315E">
        <w:rPr>
          <w:rFonts w:ascii="Arial" w:eastAsia="Calibri" w:hAnsi="Arial" w:hint="cs"/>
          <w:rtl/>
        </w:rPr>
        <w:t xml:space="preserve"> </w:t>
      </w:r>
      <w:r w:rsidR="009E6090">
        <w:rPr>
          <w:rFonts w:ascii="Arial" w:eastAsia="Calibri" w:hAnsi="Arial" w:hint="cs"/>
          <w:rtl/>
        </w:rPr>
        <w:t xml:space="preserve">ויודגש, </w:t>
      </w:r>
      <w:r w:rsidR="00A2315E">
        <w:rPr>
          <w:rFonts w:ascii="Arial" w:eastAsia="Calibri" w:hAnsi="Arial" w:hint="cs"/>
          <w:rtl/>
        </w:rPr>
        <w:t>מאז מועד ההחלטה</w:t>
      </w:r>
      <w:r w:rsidR="009E6090">
        <w:rPr>
          <w:rFonts w:ascii="Arial" w:eastAsia="Calibri" w:hAnsi="Arial" w:hint="cs"/>
          <w:rtl/>
        </w:rPr>
        <w:t xml:space="preserve"> מושא הערעור</w:t>
      </w:r>
      <w:r w:rsidR="00A2315E">
        <w:rPr>
          <w:rFonts w:ascii="Arial" w:eastAsia="Calibri" w:hAnsi="Arial" w:hint="cs"/>
          <w:rtl/>
        </w:rPr>
        <w:t xml:space="preserve"> 2.8.23 </w:t>
      </w:r>
      <w:r w:rsidR="009E6090">
        <w:rPr>
          <w:rFonts w:ascii="Arial" w:eastAsia="Calibri" w:hAnsi="Arial" w:hint="cs"/>
          <w:rtl/>
        </w:rPr>
        <w:t xml:space="preserve">פעל </w:t>
      </w:r>
      <w:r w:rsidR="00A2315E">
        <w:rPr>
          <w:rFonts w:ascii="Arial" w:eastAsia="Calibri" w:hAnsi="Arial" w:hint="cs"/>
          <w:rtl/>
        </w:rPr>
        <w:t>המבקש בתיק קמא והגיש בקשות ותגובות</w:t>
      </w:r>
      <w:r w:rsidR="001828C9">
        <w:rPr>
          <w:rFonts w:ascii="Arial" w:eastAsia="Calibri" w:hAnsi="Arial" w:hint="cs"/>
          <w:rtl/>
        </w:rPr>
        <w:t xml:space="preserve">, </w:t>
      </w:r>
      <w:r w:rsidR="009E6090">
        <w:rPr>
          <w:rFonts w:ascii="Arial" w:eastAsia="Calibri" w:hAnsi="Arial" w:hint="cs"/>
          <w:rtl/>
        </w:rPr>
        <w:t xml:space="preserve">ועם זאת </w:t>
      </w:r>
      <w:r w:rsidR="001828C9">
        <w:rPr>
          <w:rFonts w:ascii="Arial" w:eastAsia="Calibri" w:hAnsi="Arial" w:hint="cs"/>
          <w:rtl/>
        </w:rPr>
        <w:t xml:space="preserve">לא ראה כל צורך להגיש את בקשת רשות ערעור זו </w:t>
      </w:r>
      <w:r w:rsidR="00B8545C">
        <w:rPr>
          <w:rFonts w:ascii="Arial" w:eastAsia="Calibri" w:hAnsi="Arial" w:hint="cs"/>
          <w:rtl/>
        </w:rPr>
        <w:t>ב</w:t>
      </w:r>
      <w:r w:rsidR="001828C9">
        <w:rPr>
          <w:rFonts w:ascii="Arial" w:eastAsia="Calibri" w:hAnsi="Arial" w:hint="cs"/>
          <w:rtl/>
        </w:rPr>
        <w:t xml:space="preserve">סמוך למועד מתן </w:t>
      </w:r>
      <w:r w:rsidR="001828C9" w:rsidRPr="00106F3B">
        <w:rPr>
          <w:rFonts w:ascii="Arial" w:eastAsia="Calibri" w:hAnsi="Arial" w:hint="cs"/>
          <w:rtl/>
        </w:rPr>
        <w:t>ההחלטה</w:t>
      </w:r>
      <w:r w:rsidR="008B3CB5" w:rsidRPr="00B8545C">
        <w:rPr>
          <w:rFonts w:ascii="Arial" w:eastAsia="Calibri" w:hAnsi="Arial" w:hint="cs"/>
          <w:b/>
          <w:bCs/>
          <w:rtl/>
        </w:rPr>
        <w:t xml:space="preserve"> אלא רק בחלוף חודש וחצי וערב מועד האבחון </w:t>
      </w:r>
      <w:r w:rsidR="008B3CB5" w:rsidRPr="00B8545C">
        <w:rPr>
          <w:rFonts w:ascii="Arial" w:eastAsia="Calibri" w:hAnsi="Arial" w:hint="cs"/>
          <w:rtl/>
        </w:rPr>
        <w:t>כפי שנקבע</w:t>
      </w:r>
      <w:r w:rsidR="00B8545C">
        <w:rPr>
          <w:rFonts w:ascii="Arial" w:eastAsia="Calibri" w:hAnsi="Arial" w:hint="cs"/>
          <w:rtl/>
        </w:rPr>
        <w:t xml:space="preserve"> בהחלטה</w:t>
      </w:r>
      <w:r w:rsidR="008B3CB5" w:rsidRPr="00B8545C">
        <w:rPr>
          <w:rFonts w:ascii="Arial" w:eastAsia="Calibri" w:hAnsi="Arial" w:hint="cs"/>
          <w:rtl/>
        </w:rPr>
        <w:t>.</w:t>
      </w:r>
      <w:r w:rsidR="008B3CB5">
        <w:rPr>
          <w:rFonts w:ascii="Arial" w:eastAsia="Calibri" w:hAnsi="Arial" w:hint="cs"/>
          <w:rtl/>
        </w:rPr>
        <w:t xml:space="preserve"> התנהלות זו של המבקש מעידה לטעמי על </w:t>
      </w:r>
      <w:r w:rsidR="00B8545C">
        <w:rPr>
          <w:rFonts w:ascii="Arial" w:eastAsia="Calibri" w:hAnsi="Arial" w:hint="cs"/>
          <w:rtl/>
        </w:rPr>
        <w:t>זלזול ו</w:t>
      </w:r>
      <w:r w:rsidR="008B3CB5">
        <w:rPr>
          <w:rFonts w:ascii="Arial" w:eastAsia="Calibri" w:hAnsi="Arial" w:hint="cs"/>
          <w:rtl/>
        </w:rPr>
        <w:t>חוסר רגישות כלפי הצד שכנגד, כלפי המכון שהיה אמור לערוך את האבחון</w:t>
      </w:r>
      <w:r w:rsidR="00B8545C">
        <w:rPr>
          <w:rFonts w:ascii="Arial" w:eastAsia="Calibri" w:hAnsi="Arial" w:hint="cs"/>
          <w:rtl/>
        </w:rPr>
        <w:t>,</w:t>
      </w:r>
      <w:r w:rsidR="008B3CB5">
        <w:rPr>
          <w:rFonts w:ascii="Arial" w:eastAsia="Calibri" w:hAnsi="Arial" w:hint="cs"/>
          <w:rtl/>
        </w:rPr>
        <w:t xml:space="preserve"> וכלפי בימ"ש קמא שבינתיים נאלץ לעסוק בבקשות ובתגובות בגין אי-התי</w:t>
      </w:r>
      <w:r w:rsidR="00B8545C">
        <w:rPr>
          <w:rFonts w:ascii="Arial" w:eastAsia="Calibri" w:hAnsi="Arial" w:hint="cs"/>
          <w:rtl/>
        </w:rPr>
        <w:t>י</w:t>
      </w:r>
      <w:r w:rsidR="008B3CB5">
        <w:rPr>
          <w:rFonts w:ascii="Arial" w:eastAsia="Calibri" w:hAnsi="Arial" w:hint="cs"/>
          <w:rtl/>
        </w:rPr>
        <w:t>צבות המבקש למועד האיבחון</w:t>
      </w:r>
      <w:r w:rsidR="004B7F9B">
        <w:rPr>
          <w:rFonts w:ascii="Arial" w:eastAsia="Calibri" w:hAnsi="Arial" w:hint="cs"/>
          <w:rtl/>
        </w:rPr>
        <w:t>;</w:t>
      </w:r>
      <w:r w:rsidR="008B3CB5">
        <w:rPr>
          <w:rFonts w:ascii="Arial" w:eastAsia="Calibri" w:hAnsi="Arial" w:hint="cs"/>
          <w:rtl/>
        </w:rPr>
        <w:t xml:space="preserve"> לו </w:t>
      </w:r>
      <w:r w:rsidR="003F543F">
        <w:rPr>
          <w:rFonts w:ascii="Arial" w:eastAsia="Calibri" w:hAnsi="Arial" w:hint="cs"/>
          <w:rtl/>
        </w:rPr>
        <w:t xml:space="preserve">המבקש </w:t>
      </w:r>
      <w:r w:rsidR="008B3CB5">
        <w:rPr>
          <w:rFonts w:ascii="Arial" w:eastAsia="Calibri" w:hAnsi="Arial" w:hint="cs"/>
          <w:rtl/>
        </w:rPr>
        <w:t xml:space="preserve">היה מגיש </w:t>
      </w:r>
      <w:r w:rsidR="003F543F">
        <w:rPr>
          <w:rFonts w:ascii="Arial" w:eastAsia="Calibri" w:hAnsi="Arial" w:hint="cs"/>
          <w:rtl/>
        </w:rPr>
        <w:t xml:space="preserve">את </w:t>
      </w:r>
      <w:r w:rsidR="008B3CB5">
        <w:rPr>
          <w:rFonts w:ascii="Arial" w:eastAsia="Calibri" w:hAnsi="Arial" w:hint="cs"/>
          <w:rtl/>
        </w:rPr>
        <w:t xml:space="preserve">בקשת רשות הערעור </w:t>
      </w:r>
      <w:r w:rsidR="004B7F9B" w:rsidRPr="003F543F">
        <w:rPr>
          <w:rFonts w:ascii="Arial" w:eastAsia="Calibri" w:hAnsi="Arial" w:hint="cs"/>
          <w:b/>
          <w:bCs/>
          <w:rtl/>
        </w:rPr>
        <w:t>ב</w:t>
      </w:r>
      <w:r w:rsidR="008B3CB5" w:rsidRPr="003F543F">
        <w:rPr>
          <w:rFonts w:ascii="Arial" w:eastAsia="Calibri" w:hAnsi="Arial" w:hint="cs"/>
          <w:b/>
          <w:bCs/>
          <w:rtl/>
        </w:rPr>
        <w:t>סמוך למועד מתן ההחלטה, עוד בתקופת פגרת הקיץ</w:t>
      </w:r>
      <w:r w:rsidR="00B8545C">
        <w:rPr>
          <w:rFonts w:ascii="Arial" w:eastAsia="Calibri" w:hAnsi="Arial" w:hint="cs"/>
          <w:b/>
          <w:bCs/>
          <w:rtl/>
        </w:rPr>
        <w:t xml:space="preserve"> ולכל היותר בתחילת שנת המשפט </w:t>
      </w:r>
      <w:r w:rsidR="00B8545C">
        <w:rPr>
          <w:rFonts w:ascii="Arial" w:eastAsia="Calibri" w:hAnsi="Arial" w:hint="cs"/>
          <w:rtl/>
        </w:rPr>
        <w:t>(ולא ביום 18/9)</w:t>
      </w:r>
      <w:r w:rsidR="008B3CB5">
        <w:rPr>
          <w:rFonts w:ascii="Arial" w:eastAsia="Calibri" w:hAnsi="Arial" w:hint="cs"/>
          <w:rtl/>
        </w:rPr>
        <w:t xml:space="preserve">, </w:t>
      </w:r>
      <w:r w:rsidR="00B8545C">
        <w:rPr>
          <w:rFonts w:ascii="Arial" w:eastAsia="Calibri" w:hAnsi="Arial" w:hint="cs"/>
          <w:rtl/>
        </w:rPr>
        <w:t>בקשתו לעיכוב ביצוע לא הייתה נדחית מטעמי שיהוי</w:t>
      </w:r>
      <w:r w:rsidR="00842DD1">
        <w:rPr>
          <w:rFonts w:ascii="Arial" w:eastAsia="Calibri" w:hAnsi="Arial" w:hint="cs"/>
          <w:rtl/>
        </w:rPr>
        <w:t xml:space="preserve"> ו</w:t>
      </w:r>
      <w:r w:rsidR="008B3CB5">
        <w:rPr>
          <w:rFonts w:ascii="Arial" w:eastAsia="Calibri" w:hAnsi="Arial" w:hint="cs"/>
          <w:rtl/>
        </w:rPr>
        <w:t>לו בקשת רשות הערעור ה</w:t>
      </w:r>
      <w:r w:rsidR="00842DD1">
        <w:rPr>
          <w:rFonts w:ascii="Arial" w:eastAsia="Calibri" w:hAnsi="Arial" w:hint="cs"/>
          <w:rtl/>
        </w:rPr>
        <w:t>י</w:t>
      </w:r>
      <w:r w:rsidR="008B3CB5">
        <w:rPr>
          <w:rFonts w:ascii="Arial" w:eastAsia="Calibri" w:hAnsi="Arial" w:hint="cs"/>
          <w:rtl/>
        </w:rPr>
        <w:t xml:space="preserve">יתה מתקבלת </w:t>
      </w:r>
      <w:r w:rsidR="00B8545C">
        <w:rPr>
          <w:rFonts w:ascii="Arial" w:eastAsia="Calibri" w:hAnsi="Arial" w:hint="cs"/>
          <w:rtl/>
        </w:rPr>
        <w:t>וההחלטה על עריכת האבחון הייתה מתבטלת כפי שהינו מעוניין</w:t>
      </w:r>
      <w:r w:rsidR="008B3CB5">
        <w:rPr>
          <w:rFonts w:ascii="Arial" w:eastAsia="Calibri" w:hAnsi="Arial" w:hint="cs"/>
          <w:rtl/>
        </w:rPr>
        <w:t xml:space="preserve">, לא היה צריך המכון לבזבז את זמנו ולהקצות </w:t>
      </w:r>
      <w:r w:rsidR="00BC4CB2">
        <w:rPr>
          <w:rFonts w:ascii="Arial" w:eastAsia="Calibri" w:hAnsi="Arial" w:hint="cs"/>
          <w:rtl/>
        </w:rPr>
        <w:t xml:space="preserve">את היום </w:t>
      </w:r>
      <w:r w:rsidR="008B3CB5">
        <w:rPr>
          <w:rFonts w:ascii="Arial" w:eastAsia="Calibri" w:hAnsi="Arial" w:hint="cs"/>
          <w:rtl/>
        </w:rPr>
        <w:t xml:space="preserve">לעריכת </w:t>
      </w:r>
      <w:r w:rsidR="00BC4CB2">
        <w:rPr>
          <w:rFonts w:ascii="Arial" w:eastAsia="Calibri" w:hAnsi="Arial" w:hint="cs"/>
          <w:rtl/>
        </w:rPr>
        <w:t>האבחון</w:t>
      </w:r>
      <w:r w:rsidR="001828C9">
        <w:rPr>
          <w:rFonts w:ascii="Arial" w:eastAsia="Calibri" w:hAnsi="Arial" w:hint="cs"/>
          <w:rtl/>
        </w:rPr>
        <w:t xml:space="preserve">, </w:t>
      </w:r>
      <w:r w:rsidR="00842DD1">
        <w:rPr>
          <w:rFonts w:ascii="Arial" w:eastAsia="Calibri" w:hAnsi="Arial" w:hint="cs"/>
          <w:rtl/>
        </w:rPr>
        <w:t>וגם בימ"ש קמא לא היה צריך לעסוק בבקשות בשל אי-התייצבות המבקש לאבחון.</w:t>
      </w:r>
      <w:r w:rsidR="004B7F9B">
        <w:rPr>
          <w:rFonts w:ascii="Arial" w:eastAsia="Calibri" w:hAnsi="Arial" w:hint="cs"/>
          <w:rtl/>
        </w:rPr>
        <w:t xml:space="preserve"> </w:t>
      </w:r>
      <w:r w:rsidR="00B8545C">
        <w:rPr>
          <w:rFonts w:ascii="Arial" w:eastAsia="Calibri" w:hAnsi="Arial" w:hint="cs"/>
          <w:rtl/>
        </w:rPr>
        <w:t>מנגד</w:t>
      </w:r>
      <w:r w:rsidR="00BC4CB2">
        <w:rPr>
          <w:rFonts w:ascii="Arial" w:eastAsia="Calibri" w:hAnsi="Arial" w:hint="cs"/>
          <w:rtl/>
        </w:rPr>
        <w:t xml:space="preserve"> ולו</w:t>
      </w:r>
      <w:r w:rsidR="004B7F9B">
        <w:rPr>
          <w:rFonts w:ascii="Arial" w:eastAsia="Calibri" w:hAnsi="Arial" w:hint="cs"/>
          <w:rtl/>
        </w:rPr>
        <w:t xml:space="preserve"> בקשת רשות הערעור הייתה נדחית, יתכן והחלטת הדחייה הייתה ניתנת טרם מועד ביצוע האבחון 19/9 כך שניתן היה לקיימו</w:t>
      </w:r>
      <w:r w:rsidR="00BC4CB2">
        <w:rPr>
          <w:rFonts w:ascii="Arial" w:eastAsia="Calibri" w:hAnsi="Arial" w:hint="cs"/>
          <w:rtl/>
        </w:rPr>
        <w:t xml:space="preserve"> במועד</w:t>
      </w:r>
      <w:r w:rsidR="004B7F9B">
        <w:rPr>
          <w:rFonts w:ascii="Arial" w:eastAsia="Calibri" w:hAnsi="Arial" w:hint="cs"/>
          <w:rtl/>
        </w:rPr>
        <w:t xml:space="preserve"> (הלא המבקש לא ידע מראש כי יחלה ביום 19/9 כפי שנימק לבימ"ש קמא את אי-התייצבותו לאבחון...)</w:t>
      </w:r>
      <w:r w:rsidR="00B8545C">
        <w:rPr>
          <w:rFonts w:ascii="Arial" w:eastAsia="Calibri" w:hAnsi="Arial" w:hint="cs"/>
          <w:rtl/>
        </w:rPr>
        <w:t>.</w:t>
      </w:r>
    </w:p>
    <w:p w:rsidR="00B8545C" w:rsidRDefault="00B8545C" w:rsidP="00842DD1">
      <w:pPr>
        <w:pStyle w:val="affffc"/>
        <w:spacing w:line="360" w:lineRule="auto"/>
        <w:jc w:val="both"/>
        <w:rPr>
          <w:rFonts w:ascii="Arial" w:eastAsia="Calibri" w:hAnsi="Arial"/>
          <w:rtl/>
        </w:rPr>
      </w:pPr>
    </w:p>
    <w:p w:rsidR="00842DD1" w:rsidRDefault="001828C9" w:rsidP="00842DD1">
      <w:pPr>
        <w:pStyle w:val="affffc"/>
        <w:spacing w:line="360" w:lineRule="auto"/>
        <w:jc w:val="both"/>
        <w:rPr>
          <w:rFonts w:ascii="Arial" w:eastAsia="Calibri" w:hAnsi="Arial"/>
          <w:rtl/>
        </w:rPr>
      </w:pPr>
      <w:r>
        <w:rPr>
          <w:rFonts w:ascii="Arial" w:eastAsia="Calibri" w:hAnsi="Arial" w:hint="cs"/>
          <w:rtl/>
        </w:rPr>
        <w:t>אמנם מבחינת תקנות סדרי הדין עומד המבקש במניין הימים שכן רוב התקופה ה</w:t>
      </w:r>
      <w:r w:rsidR="00842DD1">
        <w:rPr>
          <w:rFonts w:ascii="Arial" w:eastAsia="Calibri" w:hAnsi="Arial" w:hint="cs"/>
          <w:rtl/>
        </w:rPr>
        <w:t>י</w:t>
      </w:r>
      <w:r>
        <w:rPr>
          <w:rFonts w:ascii="Arial" w:eastAsia="Calibri" w:hAnsi="Arial" w:hint="cs"/>
          <w:rtl/>
        </w:rPr>
        <w:t>יתה פגרת הקיץ ופגרת סוכות</w:t>
      </w:r>
      <w:r w:rsidR="008E78DA">
        <w:rPr>
          <w:rFonts w:ascii="Arial" w:eastAsia="Calibri" w:hAnsi="Arial" w:hint="cs"/>
          <w:rtl/>
        </w:rPr>
        <w:t xml:space="preserve"> שאיננה נמנית במניין הימים</w:t>
      </w:r>
      <w:r w:rsidR="00842DD1">
        <w:rPr>
          <w:rFonts w:ascii="Arial" w:eastAsia="Calibri" w:hAnsi="Arial" w:hint="cs"/>
          <w:rtl/>
        </w:rPr>
        <w:t>,</w:t>
      </w:r>
      <w:r>
        <w:rPr>
          <w:rFonts w:ascii="Arial" w:eastAsia="Calibri" w:hAnsi="Arial" w:hint="cs"/>
          <w:rtl/>
        </w:rPr>
        <w:t xml:space="preserve"> </w:t>
      </w:r>
      <w:r w:rsidR="001D665A">
        <w:rPr>
          <w:rFonts w:ascii="Arial" w:eastAsia="Calibri" w:hAnsi="Arial" w:hint="cs"/>
          <w:rtl/>
        </w:rPr>
        <w:t xml:space="preserve">אולם </w:t>
      </w:r>
      <w:r w:rsidR="00842DD1">
        <w:rPr>
          <w:rFonts w:ascii="Arial" w:eastAsia="Calibri" w:hAnsi="Arial" w:hint="cs"/>
          <w:rtl/>
        </w:rPr>
        <w:t xml:space="preserve">יש נסיבות - כנסיבות תיק זה -  </w:t>
      </w:r>
      <w:r w:rsidR="00842DD1" w:rsidRPr="008E78DA">
        <w:rPr>
          <w:rFonts w:ascii="Arial" w:eastAsia="Calibri" w:hAnsi="Arial" w:hint="cs"/>
          <w:b/>
          <w:bCs/>
          <w:rtl/>
        </w:rPr>
        <w:t>שבהן אין זה ראוי למצות את מלוא התקופה שנקבעה בתקנות לצורך בקשת רשות ערעור.</w:t>
      </w:r>
    </w:p>
    <w:p w:rsidR="001D665A" w:rsidRDefault="001D665A" w:rsidP="00842DD1">
      <w:pPr>
        <w:pStyle w:val="affffc"/>
        <w:spacing w:line="360" w:lineRule="auto"/>
        <w:jc w:val="both"/>
        <w:rPr>
          <w:rFonts w:ascii="Arial" w:eastAsia="Calibri" w:hAnsi="Arial"/>
        </w:rPr>
      </w:pPr>
      <w:r>
        <w:rPr>
          <w:rFonts w:ascii="Arial" w:eastAsia="Calibri" w:hAnsi="Arial" w:hint="cs"/>
          <w:rtl/>
        </w:rPr>
        <w:t>יפים לעניין זה דברי השופט (כתוארו אז) א' גורניס ב</w:t>
      </w:r>
      <w:r w:rsidR="00842DD1">
        <w:rPr>
          <w:rFonts w:ascii="Arial" w:eastAsia="Calibri" w:hAnsi="Arial" w:hint="cs"/>
          <w:rtl/>
        </w:rPr>
        <w:t>-</w:t>
      </w:r>
      <w:r>
        <w:rPr>
          <w:rFonts w:ascii="Arial" w:eastAsia="Calibri" w:hAnsi="Arial" w:hint="cs"/>
          <w:rtl/>
        </w:rPr>
        <w:t xml:space="preserve">רע"א 9489/09 </w:t>
      </w:r>
      <w:r w:rsidRPr="00550CC4">
        <w:rPr>
          <w:rFonts w:ascii="Arial" w:eastAsia="Calibri" w:hAnsi="Arial" w:hint="cs"/>
          <w:b/>
          <w:bCs/>
          <w:u w:val="single"/>
          <w:rtl/>
        </w:rPr>
        <w:t>רוזנברג נ' בולוס</w:t>
      </w:r>
      <w:r w:rsidR="00842DD1">
        <w:rPr>
          <w:rFonts w:ascii="Arial" w:eastAsia="Calibri" w:hAnsi="Arial" w:hint="cs"/>
          <w:b/>
          <w:bCs/>
          <w:u w:val="single"/>
          <w:rtl/>
        </w:rPr>
        <w:t xml:space="preserve"> </w:t>
      </w:r>
      <w:r w:rsidRPr="00550CC4">
        <w:rPr>
          <w:rFonts w:ascii="Arial" w:eastAsia="Calibri" w:hAnsi="Arial" w:hint="cs"/>
          <w:b/>
          <w:bCs/>
          <w:u w:val="single"/>
          <w:rtl/>
        </w:rPr>
        <w:t>גד תיירות ומלונאות בע"מ</w:t>
      </w:r>
      <w:r>
        <w:rPr>
          <w:rFonts w:ascii="Arial" w:eastAsia="Calibri" w:hAnsi="Arial" w:hint="cs"/>
          <w:rtl/>
        </w:rPr>
        <w:t xml:space="preserve"> (14.2.10)</w:t>
      </w:r>
      <w:r w:rsidR="00550CC4">
        <w:rPr>
          <w:rFonts w:ascii="Arial" w:eastAsia="Calibri" w:hAnsi="Arial" w:hint="cs"/>
          <w:rtl/>
        </w:rPr>
        <w:t xml:space="preserve"> סע' 6 שם</w:t>
      </w:r>
      <w:r>
        <w:rPr>
          <w:rFonts w:ascii="Arial" w:eastAsia="Calibri" w:hAnsi="Arial" w:hint="cs"/>
          <w:rtl/>
        </w:rPr>
        <w:t xml:space="preserve">: </w:t>
      </w:r>
    </w:p>
    <w:p w:rsidR="00842DD1" w:rsidRDefault="00550CC4" w:rsidP="00842DD1">
      <w:pPr>
        <w:pStyle w:val="affffc"/>
        <w:spacing w:line="276" w:lineRule="auto"/>
        <w:ind w:left="1440"/>
        <w:jc w:val="both"/>
        <w:rPr>
          <w:rFonts w:ascii="Aharoni" w:hAnsi="Aharoni" w:cs="Aharoni"/>
          <w:spacing w:val="10"/>
          <w:rtl/>
        </w:rPr>
      </w:pPr>
      <w:r w:rsidRPr="006535C2">
        <w:rPr>
          <w:rFonts w:ascii="Aharoni" w:hAnsi="Aharoni" w:cs="Aharoni"/>
          <w:spacing w:val="10"/>
          <w:rtl/>
        </w:rPr>
        <w:t>"בדרך כלל אין להלין על בעל דין הממצה את מלוא התקופה שהוקנתה לו בחקיקה לביצוע פעולה מסו</w:t>
      </w:r>
      <w:r w:rsidR="00BC4CB2">
        <w:rPr>
          <w:rFonts w:ascii="Aharoni" w:hAnsi="Aharoni" w:cs="Aharoni" w:hint="cs"/>
          <w:spacing w:val="10"/>
          <w:rtl/>
        </w:rPr>
        <w:t>י</w:t>
      </w:r>
      <w:r w:rsidRPr="006535C2">
        <w:rPr>
          <w:rFonts w:ascii="Aharoni" w:hAnsi="Aharoni" w:cs="Aharoni"/>
          <w:spacing w:val="10"/>
          <w:rtl/>
        </w:rPr>
        <w:t xml:space="preserve">ימת. עם זאת, </w:t>
      </w:r>
      <w:r w:rsidRPr="004B7F9B">
        <w:rPr>
          <w:rFonts w:ascii="Aharoni" w:hAnsi="Aharoni" w:cs="Aharoni"/>
          <w:spacing w:val="10"/>
          <w:u w:val="single"/>
          <w:rtl/>
        </w:rPr>
        <w:t>במקרים מסוימים מוטלת חובה על בעל דין להזדרז ולעשות מעשה עוד בטרם תמה התקופה שהוקצתה לו</w:t>
      </w:r>
      <w:r w:rsidRPr="006535C2">
        <w:rPr>
          <w:rFonts w:ascii="Aharoni" w:hAnsi="Aharoni" w:cs="Aharoni"/>
          <w:spacing w:val="10"/>
          <w:rtl/>
        </w:rPr>
        <w:t xml:space="preserve">, שאם לא כן נוטל הוא סיכון שמא ייקבע כי בהתנהלותו נפל שיהוי. בהקשר של הגשת בקשות רשות ערעור על החלטות ביניים, אמורים הדברים בעיקר לעניין החובה </w:t>
      </w:r>
      <w:r w:rsidRPr="004B7F9B">
        <w:rPr>
          <w:rFonts w:ascii="Aharoni" w:hAnsi="Aharoni" w:cs="Aharoni"/>
          <w:spacing w:val="10"/>
          <w:u w:val="single"/>
          <w:rtl/>
        </w:rPr>
        <w:t>להתחשב בשלב בו נמצא ההליך</w:t>
      </w:r>
      <w:r w:rsidRPr="006535C2">
        <w:rPr>
          <w:rFonts w:ascii="Aharoni" w:hAnsi="Aharoni" w:cs="Aharoni"/>
          <w:spacing w:val="10"/>
          <w:rtl/>
        </w:rPr>
        <w:t xml:space="preserve"> בערכאה הדיונית </w:t>
      </w:r>
      <w:r w:rsidRPr="004B7F9B">
        <w:rPr>
          <w:rFonts w:ascii="Aharoni" w:hAnsi="Aharoni" w:cs="Aharoni"/>
          <w:u w:val="single"/>
          <w:rtl/>
        </w:rPr>
        <w:t>ובהשפעה הצפויה של הגשת בקשה לרשות ערעור</w:t>
      </w:r>
      <w:r w:rsidRPr="006535C2">
        <w:rPr>
          <w:rFonts w:ascii="Aharoni" w:hAnsi="Aharoni" w:cs="Aharoni"/>
          <w:rtl/>
        </w:rPr>
        <w:t xml:space="preserve"> על התקדמות הדיון</w:t>
      </w:r>
      <w:r w:rsidRPr="006535C2">
        <w:rPr>
          <w:rFonts w:ascii="Aharoni" w:hAnsi="Aharoni" w:cs="Aharoni"/>
          <w:spacing w:val="10"/>
          <w:rtl/>
        </w:rPr>
        <w:t xml:space="preserve">. [...] </w:t>
      </w:r>
      <w:r w:rsidRPr="004B7F9B">
        <w:rPr>
          <w:rFonts w:ascii="Aharoni" w:hAnsi="Aharoni" w:cs="Aharoni"/>
          <w:spacing w:val="10"/>
          <w:u w:val="single"/>
          <w:rtl/>
        </w:rPr>
        <w:t>השתהות בהגשת הבקשה לרשות ערעור עלולה לגרום לתקלות דיוניות שונות</w:t>
      </w:r>
      <w:r w:rsidR="00842DD1">
        <w:rPr>
          <w:rFonts w:ascii="Aharoni" w:hAnsi="Aharoni" w:cs="Aharoni" w:hint="cs"/>
          <w:spacing w:val="10"/>
          <w:rtl/>
        </w:rPr>
        <w:t>.</w:t>
      </w:r>
      <w:r w:rsidRPr="006535C2">
        <w:rPr>
          <w:rFonts w:ascii="Aharoni" w:hAnsi="Aharoni" w:cs="Aharoni"/>
          <w:spacing w:val="10"/>
          <w:rtl/>
        </w:rPr>
        <w:t xml:space="preserve"> [...]</w:t>
      </w:r>
    </w:p>
    <w:p w:rsidR="0088140F" w:rsidRPr="006535C2" w:rsidRDefault="00550CC4" w:rsidP="00F85AD9">
      <w:pPr>
        <w:pStyle w:val="affffc"/>
        <w:spacing w:line="276" w:lineRule="auto"/>
        <w:ind w:left="1440"/>
        <w:jc w:val="both"/>
        <w:rPr>
          <w:rFonts w:ascii="Aharoni" w:eastAsia="Calibri" w:hAnsi="Aharoni" w:cs="Aharoni"/>
          <w:rtl/>
        </w:rPr>
      </w:pPr>
      <w:r w:rsidRPr="006535C2">
        <w:rPr>
          <w:rFonts w:ascii="Aharoni" w:hAnsi="Aharoni" w:cs="Aharoni"/>
          <w:spacing w:val="10"/>
          <w:rtl/>
        </w:rPr>
        <w:lastRenderedPageBreak/>
        <w:t>מן האמור ניתן לגזור שתי חובות המוטלות על בעל דין: </w:t>
      </w:r>
      <w:r w:rsidRPr="006535C2">
        <w:rPr>
          <w:rFonts w:ascii="Aharoni" w:hAnsi="Aharoni" w:cs="Aharoni"/>
          <w:rtl/>
        </w:rPr>
        <w:t>ראשית, כאשר מבקש בעל דין להגיש בקשת רשות ערעור על החלטת ביניים העשויה להשפיע על מהלך הדיון</w:t>
      </w:r>
      <w:r w:rsidR="00842DD1">
        <w:rPr>
          <w:rFonts w:ascii="Aharoni" w:hAnsi="Aharoni" w:cs="Aharoni" w:hint="cs"/>
          <w:rtl/>
        </w:rPr>
        <w:t>...</w:t>
      </w:r>
      <w:r w:rsidRPr="004B7F9B">
        <w:rPr>
          <w:rFonts w:ascii="Aharoni" w:hAnsi="Aharoni" w:cs="Aharoni"/>
          <w:u w:val="single"/>
          <w:rtl/>
        </w:rPr>
        <w:t>שומה עליו לכלכל את צעדיו בזריזות</w:t>
      </w:r>
      <w:r w:rsidRPr="004B7F9B">
        <w:rPr>
          <w:rFonts w:ascii="Aharoni" w:hAnsi="Aharoni" w:cs="Aharoni"/>
          <w:spacing w:val="10"/>
          <w:u w:val="single"/>
          <w:rtl/>
        </w:rPr>
        <w:t>. עליו להחליט במהירות האפשרית האם ברצונו להגיש בקשת רשות ערעור</w:t>
      </w:r>
      <w:r w:rsidRPr="006535C2">
        <w:rPr>
          <w:rFonts w:ascii="Aharoni" w:hAnsi="Aharoni" w:cs="Aharoni"/>
          <w:spacing w:val="10"/>
          <w:rtl/>
        </w:rPr>
        <w:t>. </w:t>
      </w:r>
      <w:r w:rsidRPr="006535C2">
        <w:rPr>
          <w:rFonts w:ascii="Aharoni" w:hAnsi="Aharoni" w:cs="Aharoni"/>
          <w:rtl/>
        </w:rPr>
        <w:t xml:space="preserve">אם החליט בחיוב, </w:t>
      </w:r>
      <w:r w:rsidRPr="004B7F9B">
        <w:rPr>
          <w:rFonts w:ascii="Aharoni" w:hAnsi="Aharoni" w:cs="Aharoni"/>
          <w:u w:val="single"/>
          <w:rtl/>
        </w:rPr>
        <w:t>עליו להוציא את החלטתו אל הפועל תוך זמן קצר ולא למצות את מלוא התקופה הנתונה לו בחקיקה</w:t>
      </w:r>
      <w:r w:rsidRPr="006535C2">
        <w:rPr>
          <w:rFonts w:ascii="Aharoni" w:hAnsi="Aharoni" w:cs="Aharoni"/>
          <w:spacing w:val="10"/>
          <w:rtl/>
        </w:rPr>
        <w:t xml:space="preserve"> [...] מן הנמנע לשרטט קווים מנחים קשיחים בשאלה מתי מוטל על בעל דין שלא למצות את תקופת 30 הימים להגשת בקשת רשות ערעור ובמקרה כזה מהו פרק הזמן שלא ייחשב לשיהוי. המענה לשאלה זו ייגזר </w:t>
      </w:r>
      <w:r w:rsidRPr="003F543F">
        <w:rPr>
          <w:rFonts w:ascii="Aharoni" w:hAnsi="Aharoni" w:cs="Aharoni"/>
          <w:spacing w:val="10"/>
          <w:u w:val="single"/>
          <w:rtl/>
        </w:rPr>
        <w:t>מנסיבותיו של כל מקרה ומקרה</w:t>
      </w:r>
      <w:r w:rsidR="00F85AD9">
        <w:rPr>
          <w:rFonts w:hint="cs"/>
          <w:rtl/>
        </w:rPr>
        <w:t xml:space="preserve"> </w:t>
      </w:r>
      <w:r w:rsidRPr="006535C2">
        <w:rPr>
          <w:rFonts w:ascii="Aharoni" w:hAnsi="Aharoni" w:cs="Aharoni"/>
          <w:spacing w:val="10"/>
          <w:rtl/>
        </w:rPr>
        <w:t>[...]</w:t>
      </w:r>
      <w:r w:rsidR="00F85AD9">
        <w:rPr>
          <w:rFonts w:ascii="Aharoni" w:hAnsi="Aharoni" w:cs="Aharoni" w:hint="cs"/>
          <w:spacing w:val="10"/>
          <w:rtl/>
        </w:rPr>
        <w:t xml:space="preserve"> </w:t>
      </w:r>
      <w:r w:rsidRPr="006535C2">
        <w:rPr>
          <w:rFonts w:ascii="Aharoni" w:hAnsi="Aharoni" w:cs="Aharoni"/>
          <w:spacing w:val="10"/>
          <w:rtl/>
        </w:rPr>
        <w:t xml:space="preserve">דחיית בקשה לרשות ערעור בשל שיהוי לבדו תהא מוצדקת במקרה בו מדובר </w:t>
      </w:r>
      <w:r w:rsidRPr="003F543F">
        <w:rPr>
          <w:rFonts w:ascii="Aharoni" w:hAnsi="Aharoni" w:cs="Aharoni"/>
          <w:spacing w:val="10"/>
          <w:u w:val="single"/>
          <w:rtl/>
        </w:rPr>
        <w:t>בשיהוי משמעותי</w:t>
      </w:r>
      <w:r w:rsidRPr="006535C2">
        <w:rPr>
          <w:rFonts w:ascii="Aharoni" w:hAnsi="Aharoni" w:cs="Aharoni"/>
          <w:spacing w:val="10"/>
          <w:rtl/>
        </w:rPr>
        <w:t>, במיוחד מבחינת ההשלכה על ההתנהלות הדיונית של הערכאה הראשונה"</w:t>
      </w:r>
      <w:r w:rsidR="00F85AD9">
        <w:rPr>
          <w:rFonts w:ascii="Aharoni" w:hAnsi="Aharoni" w:cs="Aharoni" w:hint="cs"/>
          <w:spacing w:val="10"/>
          <w:rtl/>
        </w:rPr>
        <w:t>.</w:t>
      </w:r>
      <w:r w:rsidRPr="006535C2">
        <w:rPr>
          <w:rFonts w:ascii="Aharoni" w:hAnsi="Aharoni" w:cs="Aharoni"/>
          <w:spacing w:val="10"/>
          <w:rtl/>
        </w:rPr>
        <w:t> </w:t>
      </w:r>
    </w:p>
    <w:p w:rsidR="00550CC4" w:rsidRDefault="00550CC4" w:rsidP="00550CC4">
      <w:pPr>
        <w:pStyle w:val="affffc"/>
        <w:spacing w:line="360" w:lineRule="auto"/>
        <w:jc w:val="both"/>
        <w:rPr>
          <w:rFonts w:ascii="Arial" w:eastAsia="Calibri" w:hAnsi="Arial"/>
          <w:rtl/>
        </w:rPr>
      </w:pPr>
    </w:p>
    <w:p w:rsidR="006535C2" w:rsidRDefault="00550CC4" w:rsidP="006535C2">
      <w:pPr>
        <w:pStyle w:val="affffc"/>
        <w:spacing w:line="276" w:lineRule="auto"/>
        <w:jc w:val="both"/>
        <w:rPr>
          <w:rFonts w:ascii="Arial" w:eastAsia="Calibri" w:hAnsi="Arial"/>
          <w:rtl/>
        </w:rPr>
      </w:pPr>
      <w:r>
        <w:rPr>
          <w:rFonts w:ascii="Arial" w:eastAsia="Calibri" w:hAnsi="Arial" w:hint="cs"/>
          <w:rtl/>
        </w:rPr>
        <w:t xml:space="preserve">כמו כן ראה רע"א 2631/22 </w:t>
      </w:r>
      <w:r w:rsidRPr="00550CC4">
        <w:rPr>
          <w:rFonts w:ascii="Arial" w:eastAsia="Calibri" w:hAnsi="Arial" w:hint="cs"/>
          <w:b/>
          <w:bCs/>
          <w:u w:val="single"/>
          <w:rtl/>
        </w:rPr>
        <w:t>פלוני נ' המרכז הרפואי המשולב על שם שיבא תל השומר</w:t>
      </w:r>
      <w:r>
        <w:rPr>
          <w:rFonts w:ascii="Arial" w:eastAsia="Calibri" w:hAnsi="Arial" w:hint="cs"/>
          <w:rtl/>
        </w:rPr>
        <w:t xml:space="preserve"> (24.4.22) סע' 7 שם:</w:t>
      </w:r>
    </w:p>
    <w:p w:rsidR="00C260C0" w:rsidRPr="006535C2" w:rsidRDefault="00C260C0" w:rsidP="008E78DA">
      <w:pPr>
        <w:pStyle w:val="affffc"/>
        <w:spacing w:line="276" w:lineRule="auto"/>
        <w:ind w:left="1440"/>
        <w:jc w:val="both"/>
        <w:rPr>
          <w:rFonts w:ascii="Aharoni" w:hAnsi="Aharoni" w:cs="Aharoni"/>
          <w:spacing w:val="10"/>
          <w:shd w:val="clear" w:color="auto" w:fill="FFFFFF"/>
          <w:rtl/>
        </w:rPr>
      </w:pPr>
      <w:r w:rsidRPr="006535C2">
        <w:rPr>
          <w:rFonts w:ascii="Aharoni" w:eastAsia="Calibri" w:hAnsi="Aharoni" w:cs="Aharoni"/>
          <w:rtl/>
        </w:rPr>
        <w:t>"</w:t>
      </w:r>
      <w:r w:rsidRPr="006535C2">
        <w:rPr>
          <w:rFonts w:ascii="Aharoni" w:hAnsi="Aharoni" w:cs="Aharoni"/>
          <w:spacing w:val="10"/>
          <w:shd w:val="clear" w:color="auto" w:fill="FFFFFF"/>
          <w:rtl/>
        </w:rPr>
        <w:t xml:space="preserve">קביעת רף עליון למועד להגשת בקשת רשות ערעור </w:t>
      </w:r>
      <w:r w:rsidRPr="003F543F">
        <w:rPr>
          <w:rFonts w:ascii="Aharoni" w:hAnsi="Aharoni" w:cs="Aharoni"/>
          <w:spacing w:val="10"/>
          <w:u w:val="single"/>
          <w:shd w:val="clear" w:color="auto" w:fill="FFFFFF"/>
          <w:rtl/>
        </w:rPr>
        <w:t>אינה פוטרת את בעלי הדין מהחובה לפעול על פי עקרונות היסוד של תקנות סדר הדין האזרחי, ובכללם החובה לנהוג בהגינות דיונית ולסייע לבית המשפט לנהל את ההליך באופן יעיל</w:t>
      </w:r>
      <w:r w:rsidRPr="006535C2">
        <w:rPr>
          <w:rFonts w:ascii="Aharoni" w:hAnsi="Aharoni" w:cs="Aharoni"/>
          <w:spacing w:val="10"/>
          <w:shd w:val="clear" w:color="auto" w:fill="FFFFFF"/>
          <w:rtl/>
        </w:rPr>
        <w:t xml:space="preserve">. צורך זה מתחדד כאשר מדובר בהגשת בקשת רשות ערעור על החלטת ביניים של הערכאה הדיונית, </w:t>
      </w:r>
      <w:r w:rsidRPr="003F543F">
        <w:rPr>
          <w:rFonts w:ascii="Aharoni" w:hAnsi="Aharoni" w:cs="Aharoni"/>
          <w:spacing w:val="10"/>
          <w:u w:val="single"/>
          <w:shd w:val="clear" w:color="auto" w:fill="FFFFFF"/>
          <w:rtl/>
        </w:rPr>
        <w:t>שלעתים ההמתנה לבירורה עשויה לגרום לעיכוב ההליך העיקרי</w:t>
      </w:r>
      <w:r w:rsidRPr="003F543F">
        <w:rPr>
          <w:rFonts w:ascii="Aharoni" w:hAnsi="Aharoni" w:cs="Aharoni"/>
          <w:spacing w:val="10"/>
          <w:u w:val="single"/>
          <w:shd w:val="clear" w:color="auto" w:fill="FFFFFF"/>
        </w:rPr>
        <w:t>.</w:t>
      </w:r>
      <w:r w:rsidRPr="006535C2">
        <w:rPr>
          <w:rFonts w:ascii="Aharoni" w:hAnsi="Aharoni" w:cs="Aharoni"/>
          <w:spacing w:val="10"/>
          <w:shd w:val="clear" w:color="auto" w:fill="FFFFFF"/>
          <w:rtl/>
        </w:rPr>
        <w:t>"</w:t>
      </w:r>
    </w:p>
    <w:p w:rsidR="00C260C0" w:rsidRDefault="00C260C0" w:rsidP="00C260C0">
      <w:pPr>
        <w:pStyle w:val="affffc"/>
        <w:spacing w:line="360" w:lineRule="auto"/>
        <w:jc w:val="both"/>
        <w:rPr>
          <w:rFonts w:ascii="FrankRuehl" w:hAnsi="FrankRuehl" w:cs="FrankRuehl"/>
          <w:spacing w:val="10"/>
          <w:sz w:val="28"/>
          <w:szCs w:val="28"/>
          <w:shd w:val="clear" w:color="auto" w:fill="FFFFFF"/>
          <w:rtl/>
        </w:rPr>
      </w:pPr>
    </w:p>
    <w:p w:rsidR="008E78DA" w:rsidRDefault="00C260C0" w:rsidP="00BE1FCB">
      <w:pPr>
        <w:pStyle w:val="affffc"/>
        <w:spacing w:line="360" w:lineRule="auto"/>
        <w:jc w:val="both"/>
        <w:rPr>
          <w:rStyle w:val="af5"/>
          <w:rFonts w:ascii="David" w:hAnsi="David"/>
          <w:i w:val="0"/>
          <w:iCs w:val="0"/>
          <w:rtl/>
        </w:rPr>
      </w:pPr>
      <w:r w:rsidRPr="00C260C0">
        <w:rPr>
          <w:rStyle w:val="af5"/>
          <w:rFonts w:ascii="David" w:hAnsi="David"/>
          <w:i w:val="0"/>
          <w:iCs w:val="0"/>
          <w:rtl/>
        </w:rPr>
        <w:t>וכן ראה</w:t>
      </w:r>
      <w:r w:rsidR="00BE1FCB">
        <w:rPr>
          <w:rStyle w:val="af5"/>
          <w:rFonts w:ascii="David" w:hAnsi="David" w:hint="cs"/>
          <w:i w:val="0"/>
          <w:iCs w:val="0"/>
          <w:rtl/>
        </w:rPr>
        <w:t>:</w:t>
      </w:r>
    </w:p>
    <w:p w:rsidR="008E78DA" w:rsidRDefault="00C260C0" w:rsidP="008E78DA">
      <w:pPr>
        <w:pStyle w:val="affffc"/>
        <w:spacing w:line="360" w:lineRule="auto"/>
        <w:jc w:val="both"/>
        <w:rPr>
          <w:rStyle w:val="af5"/>
          <w:rFonts w:ascii="David" w:hAnsi="David"/>
          <w:i w:val="0"/>
          <w:iCs w:val="0"/>
          <w:rtl/>
        </w:rPr>
      </w:pPr>
      <w:r w:rsidRPr="00C260C0">
        <w:rPr>
          <w:rStyle w:val="af5"/>
          <w:rFonts w:ascii="David" w:hAnsi="David"/>
          <w:i w:val="0"/>
          <w:iCs w:val="0"/>
          <w:rtl/>
        </w:rPr>
        <w:t xml:space="preserve">רע"א 6861/21 </w:t>
      </w:r>
      <w:r w:rsidRPr="00C260C0">
        <w:rPr>
          <w:rStyle w:val="af5"/>
          <w:rFonts w:ascii="David" w:hAnsi="David"/>
          <w:b/>
          <w:bCs/>
          <w:i w:val="0"/>
          <w:iCs w:val="0"/>
          <w:u w:val="single"/>
          <w:rtl/>
        </w:rPr>
        <w:t>בית חולים זיו נ' פלונית (קטינה)</w:t>
      </w:r>
      <w:r w:rsidRPr="00C260C0">
        <w:rPr>
          <w:rStyle w:val="af5"/>
          <w:rFonts w:ascii="David" w:hAnsi="David"/>
          <w:i w:val="0"/>
          <w:iCs w:val="0"/>
          <w:rtl/>
        </w:rPr>
        <w:t xml:space="preserve"> (</w:t>
      </w:r>
      <w:r>
        <w:rPr>
          <w:rStyle w:val="af5"/>
          <w:rFonts w:ascii="David" w:hAnsi="David" w:hint="cs"/>
          <w:i w:val="0"/>
          <w:iCs w:val="0"/>
          <w:rtl/>
        </w:rPr>
        <w:t>2.1.22)</w:t>
      </w:r>
      <w:r w:rsidRPr="00C260C0">
        <w:rPr>
          <w:rStyle w:val="af5"/>
          <w:rFonts w:ascii="David" w:hAnsi="David"/>
          <w:i w:val="0"/>
          <w:iCs w:val="0"/>
          <w:rtl/>
        </w:rPr>
        <w:t xml:space="preserve"> סע'</w:t>
      </w:r>
      <w:r w:rsidR="008E78DA">
        <w:rPr>
          <w:rStyle w:val="af5"/>
          <w:rFonts w:ascii="David" w:hAnsi="David" w:hint="cs"/>
          <w:i w:val="0"/>
          <w:iCs w:val="0"/>
          <w:rtl/>
        </w:rPr>
        <w:t xml:space="preserve"> </w:t>
      </w:r>
      <w:r w:rsidRPr="00C260C0">
        <w:rPr>
          <w:rStyle w:val="af5"/>
          <w:rFonts w:ascii="David" w:hAnsi="David"/>
          <w:i w:val="0"/>
          <w:iCs w:val="0"/>
          <w:rtl/>
        </w:rPr>
        <w:t>5-6 שם</w:t>
      </w:r>
      <w:r w:rsidRPr="00C260C0">
        <w:rPr>
          <w:rStyle w:val="af5"/>
          <w:rFonts w:ascii="David" w:hAnsi="David"/>
          <w:i w:val="0"/>
          <w:iCs w:val="0"/>
        </w:rPr>
        <w:t>;</w:t>
      </w:r>
      <w:r w:rsidRPr="00C260C0">
        <w:rPr>
          <w:rStyle w:val="af5"/>
          <w:rFonts w:ascii="David" w:hAnsi="David"/>
          <w:i w:val="0"/>
          <w:iCs w:val="0"/>
          <w:rtl/>
        </w:rPr>
        <w:t xml:space="preserve"> </w:t>
      </w:r>
    </w:p>
    <w:p w:rsidR="00C260C0" w:rsidRDefault="00C260C0" w:rsidP="008E78DA">
      <w:pPr>
        <w:pStyle w:val="affffc"/>
        <w:spacing w:line="360" w:lineRule="auto"/>
        <w:jc w:val="both"/>
        <w:rPr>
          <w:rStyle w:val="af5"/>
          <w:rFonts w:ascii="David" w:eastAsia="Calibri" w:hAnsi="David"/>
          <w:i w:val="0"/>
          <w:iCs w:val="0"/>
          <w:rtl/>
        </w:rPr>
      </w:pPr>
      <w:r w:rsidRPr="00C260C0">
        <w:rPr>
          <w:rStyle w:val="af5"/>
          <w:rFonts w:ascii="David" w:eastAsia="Calibri" w:hAnsi="David"/>
          <w:i w:val="0"/>
          <w:iCs w:val="0"/>
          <w:rtl/>
        </w:rPr>
        <w:t xml:space="preserve">רע"א 3615/22 </w:t>
      </w:r>
      <w:r w:rsidRPr="00C260C0">
        <w:rPr>
          <w:rStyle w:val="af5"/>
          <w:rFonts w:ascii="David" w:eastAsia="Calibri" w:hAnsi="David"/>
          <w:b/>
          <w:bCs/>
          <w:i w:val="0"/>
          <w:iCs w:val="0"/>
          <w:u w:val="single"/>
          <w:rtl/>
        </w:rPr>
        <w:t>ניסן ואחרים נ' מנהלת תחבורה ציבורית בירושלים</w:t>
      </w:r>
      <w:r w:rsidR="00BE1FCB">
        <w:rPr>
          <w:rStyle w:val="af5"/>
          <w:rFonts w:ascii="David" w:eastAsia="Calibri" w:hAnsi="David"/>
          <w:i w:val="0"/>
          <w:iCs w:val="0"/>
          <w:rtl/>
        </w:rPr>
        <w:t xml:space="preserve"> (13.6.22) סע' 7 שם</w:t>
      </w:r>
      <w:r w:rsidR="00BE1FCB">
        <w:rPr>
          <w:rStyle w:val="af5"/>
          <w:rFonts w:ascii="David" w:eastAsia="Calibri" w:hAnsi="David" w:hint="cs"/>
          <w:i w:val="0"/>
          <w:iCs w:val="0"/>
          <w:rtl/>
        </w:rPr>
        <w:t>;</w:t>
      </w:r>
    </w:p>
    <w:p w:rsidR="00C260C0" w:rsidRDefault="00C260C0" w:rsidP="00C260C0">
      <w:pPr>
        <w:pStyle w:val="affffc"/>
        <w:spacing w:line="360" w:lineRule="auto"/>
        <w:jc w:val="both"/>
        <w:rPr>
          <w:rStyle w:val="af5"/>
          <w:rFonts w:ascii="David" w:eastAsia="Calibri" w:hAnsi="David"/>
          <w:i w:val="0"/>
          <w:iCs w:val="0"/>
          <w:rtl/>
        </w:rPr>
      </w:pPr>
    </w:p>
    <w:p w:rsidR="00C260C0" w:rsidRDefault="008E78DA" w:rsidP="008E78DA">
      <w:pPr>
        <w:pStyle w:val="affffc"/>
        <w:numPr>
          <w:ilvl w:val="0"/>
          <w:numId w:val="11"/>
        </w:numPr>
        <w:spacing w:line="360" w:lineRule="auto"/>
        <w:jc w:val="both"/>
        <w:rPr>
          <w:rStyle w:val="af5"/>
          <w:rFonts w:ascii="David" w:eastAsia="Calibri" w:hAnsi="David"/>
          <w:i w:val="0"/>
          <w:iCs w:val="0"/>
        </w:rPr>
      </w:pPr>
      <w:r>
        <w:rPr>
          <w:rStyle w:val="af5"/>
          <w:rFonts w:ascii="David" w:eastAsia="Calibri" w:hAnsi="David" w:hint="cs"/>
          <w:i w:val="0"/>
          <w:iCs w:val="0"/>
          <w:rtl/>
        </w:rPr>
        <w:t>עם זאת</w:t>
      </w:r>
      <w:r w:rsidR="00C260C0">
        <w:rPr>
          <w:rStyle w:val="af5"/>
          <w:rFonts w:ascii="David" w:eastAsia="Calibri" w:hAnsi="David" w:hint="cs"/>
          <w:i w:val="0"/>
          <w:iCs w:val="0"/>
          <w:rtl/>
        </w:rPr>
        <w:t xml:space="preserve"> דין בקשת רשות הערעור להידחות</w:t>
      </w:r>
      <w:r>
        <w:rPr>
          <w:rStyle w:val="af5"/>
          <w:rFonts w:ascii="David" w:eastAsia="Calibri" w:hAnsi="David" w:hint="cs"/>
          <w:i w:val="0"/>
          <w:iCs w:val="0"/>
          <w:rtl/>
        </w:rPr>
        <w:t xml:space="preserve"> </w:t>
      </w:r>
      <w:r w:rsidRPr="008E78DA">
        <w:rPr>
          <w:rStyle w:val="af5"/>
          <w:rFonts w:ascii="David" w:eastAsia="Calibri" w:hAnsi="David" w:hint="cs"/>
          <w:b/>
          <w:bCs/>
          <w:i w:val="0"/>
          <w:iCs w:val="0"/>
          <w:rtl/>
        </w:rPr>
        <w:t>גם לגופה</w:t>
      </w:r>
      <w:r>
        <w:rPr>
          <w:rStyle w:val="af5"/>
          <w:rFonts w:ascii="David" w:eastAsia="Calibri" w:hAnsi="David" w:hint="cs"/>
          <w:i w:val="0"/>
          <w:iCs w:val="0"/>
          <w:rtl/>
        </w:rPr>
        <w:t>:</w:t>
      </w:r>
    </w:p>
    <w:p w:rsidR="005120DB" w:rsidRPr="008E78DA" w:rsidRDefault="005120DB" w:rsidP="005120DB">
      <w:pPr>
        <w:spacing w:line="360" w:lineRule="auto"/>
        <w:jc w:val="both"/>
        <w:rPr>
          <w:rStyle w:val="af5"/>
          <w:rFonts w:ascii="David" w:eastAsia="Calibri" w:hAnsi="David"/>
          <w:i w:val="0"/>
          <w:iCs w:val="0"/>
        </w:rPr>
      </w:pPr>
    </w:p>
    <w:p w:rsidR="005120DB" w:rsidRDefault="005120DB" w:rsidP="009862F9">
      <w:pPr>
        <w:pStyle w:val="affffc"/>
        <w:numPr>
          <w:ilvl w:val="0"/>
          <w:numId w:val="11"/>
        </w:numPr>
        <w:spacing w:line="360" w:lineRule="auto"/>
        <w:jc w:val="both"/>
        <w:rPr>
          <w:rFonts w:ascii="Arial" w:eastAsia="Calibri" w:hAnsi="Arial"/>
        </w:rPr>
      </w:pPr>
      <w:r>
        <w:rPr>
          <w:rFonts w:ascii="Arial" w:eastAsia="Calibri" w:hAnsi="Arial" w:hint="cs"/>
          <w:rtl/>
        </w:rPr>
        <w:t>תמצית</w:t>
      </w:r>
      <w:r w:rsidR="00A77D0A">
        <w:rPr>
          <w:rFonts w:ascii="Arial" w:eastAsia="Calibri" w:hAnsi="Arial" w:hint="cs"/>
          <w:rtl/>
        </w:rPr>
        <w:t xml:space="preserve"> ועיקר</w:t>
      </w:r>
      <w:r>
        <w:rPr>
          <w:rFonts w:ascii="Arial" w:eastAsia="Calibri" w:hAnsi="Arial" w:hint="cs"/>
          <w:rtl/>
        </w:rPr>
        <w:t xml:space="preserve"> טענתו של המבקש בערעורו הינה, שהחלטת בימ"ש </w:t>
      </w:r>
      <w:r w:rsidR="003F543F">
        <w:rPr>
          <w:rFonts w:ascii="Arial" w:eastAsia="Calibri" w:hAnsi="Arial" w:hint="cs"/>
          <w:rtl/>
        </w:rPr>
        <w:t>קמא הינה</w:t>
      </w:r>
      <w:r>
        <w:rPr>
          <w:rFonts w:ascii="Arial" w:eastAsia="Calibri" w:hAnsi="Arial" w:hint="cs"/>
          <w:rtl/>
        </w:rPr>
        <w:t xml:space="preserve"> בניגוד לפסה"ד בביהמ"ש המחוזי שניתן ביום 14.9.22, שם ביהמ"ש קיבל את ערעורו של המבקש והורה על ביטול החלטת בימ"ש קמא בדבר ביצוע </w:t>
      </w:r>
      <w:r w:rsidR="009862F9">
        <w:rPr>
          <w:rFonts w:ascii="Arial" w:eastAsia="Calibri" w:hAnsi="Arial" w:hint="cs"/>
          <w:rtl/>
        </w:rPr>
        <w:t>האבחון</w:t>
      </w:r>
      <w:r w:rsidR="00A77D0A">
        <w:rPr>
          <w:rFonts w:ascii="Arial" w:eastAsia="Calibri" w:hAnsi="Arial" w:hint="cs"/>
          <w:rtl/>
        </w:rPr>
        <w:t xml:space="preserve"> (להלן: </w:t>
      </w:r>
      <w:r w:rsidR="00A77D0A" w:rsidRPr="00A77D0A">
        <w:rPr>
          <w:rFonts w:ascii="Arial" w:eastAsia="Calibri" w:hAnsi="Arial" w:hint="cs"/>
          <w:b/>
          <w:bCs/>
          <w:rtl/>
        </w:rPr>
        <w:t>"פסה"ד הערעורי"</w:t>
      </w:r>
      <w:r w:rsidR="00A77D0A">
        <w:rPr>
          <w:rFonts w:ascii="Arial" w:eastAsia="Calibri" w:hAnsi="Arial" w:hint="cs"/>
          <w:rtl/>
        </w:rPr>
        <w:t>)</w:t>
      </w:r>
      <w:r w:rsidR="003F543F">
        <w:rPr>
          <w:rFonts w:ascii="Arial" w:eastAsia="Calibri" w:hAnsi="Arial" w:hint="cs"/>
          <w:rtl/>
        </w:rPr>
        <w:t>;</w:t>
      </w:r>
      <w:r>
        <w:rPr>
          <w:rFonts w:ascii="Arial" w:eastAsia="Calibri" w:hAnsi="Arial" w:hint="cs"/>
          <w:rtl/>
        </w:rPr>
        <w:t xml:space="preserve"> אך כפי שנראה להלן המערער טועה לחלוטין ב</w:t>
      </w:r>
      <w:r w:rsidR="00BE1FCB">
        <w:rPr>
          <w:rFonts w:ascii="Arial" w:eastAsia="Calibri" w:hAnsi="Arial" w:hint="cs"/>
          <w:rtl/>
        </w:rPr>
        <w:t xml:space="preserve">הבנת </w:t>
      </w:r>
      <w:r w:rsidR="00A77D0A">
        <w:rPr>
          <w:rFonts w:ascii="Arial" w:eastAsia="Calibri" w:hAnsi="Arial" w:hint="cs"/>
          <w:rtl/>
        </w:rPr>
        <w:t>תוצאת</w:t>
      </w:r>
      <w:r>
        <w:rPr>
          <w:rFonts w:ascii="Arial" w:eastAsia="Calibri" w:hAnsi="Arial" w:hint="cs"/>
          <w:rtl/>
        </w:rPr>
        <w:t xml:space="preserve"> פסה"ד </w:t>
      </w:r>
      <w:r w:rsidR="00A77D0A">
        <w:rPr>
          <w:rFonts w:ascii="Arial" w:eastAsia="Calibri" w:hAnsi="Arial" w:hint="cs"/>
          <w:rtl/>
        </w:rPr>
        <w:t>הערעורי</w:t>
      </w:r>
      <w:r>
        <w:rPr>
          <w:rFonts w:ascii="Arial" w:eastAsia="Calibri" w:hAnsi="Arial" w:hint="cs"/>
          <w:rtl/>
        </w:rPr>
        <w:t xml:space="preserve">, כפי שאף בימ"ש קמא בהחלטתו הארוכה והמנומקת, </w:t>
      </w:r>
      <w:r w:rsidR="00A77D0A">
        <w:rPr>
          <w:rFonts w:ascii="Arial" w:eastAsia="Calibri" w:hAnsi="Arial" w:hint="cs"/>
          <w:rtl/>
        </w:rPr>
        <w:t>העמיד את המבקש על טעותו זו:</w:t>
      </w:r>
      <w:r>
        <w:rPr>
          <w:rFonts w:ascii="Arial" w:eastAsia="Calibri" w:hAnsi="Arial" w:hint="cs"/>
          <w:rtl/>
        </w:rPr>
        <w:t xml:space="preserve"> </w:t>
      </w:r>
    </w:p>
    <w:p w:rsidR="00C260C0" w:rsidRDefault="00C260C0" w:rsidP="00C260C0">
      <w:pPr>
        <w:spacing w:line="360" w:lineRule="auto"/>
        <w:jc w:val="both"/>
        <w:rPr>
          <w:rStyle w:val="af5"/>
          <w:rFonts w:ascii="David" w:eastAsia="Calibri" w:hAnsi="David"/>
          <w:i w:val="0"/>
          <w:iCs w:val="0"/>
          <w:rtl/>
        </w:rPr>
      </w:pPr>
    </w:p>
    <w:p w:rsidR="00080D3B" w:rsidRDefault="00C260C0" w:rsidP="00080D3B">
      <w:pPr>
        <w:pStyle w:val="affffc"/>
        <w:numPr>
          <w:ilvl w:val="0"/>
          <w:numId w:val="11"/>
        </w:numPr>
        <w:spacing w:line="360" w:lineRule="auto"/>
        <w:jc w:val="both"/>
        <w:rPr>
          <w:rStyle w:val="af5"/>
          <w:rFonts w:ascii="David" w:eastAsia="Calibri" w:hAnsi="David"/>
          <w:i w:val="0"/>
          <w:iCs w:val="0"/>
        </w:rPr>
      </w:pPr>
      <w:r>
        <w:rPr>
          <w:rStyle w:val="af5"/>
          <w:rFonts w:ascii="David" w:eastAsia="Calibri" w:hAnsi="David" w:hint="cs"/>
          <w:i w:val="0"/>
          <w:iCs w:val="0"/>
          <w:rtl/>
        </w:rPr>
        <w:t>בחודשים 2-3/22 ניתנו ע"י בימ"ש קמא החלטות המורות על עריכת האבחון לקטינים,</w:t>
      </w:r>
      <w:r w:rsidR="00080D3B">
        <w:rPr>
          <w:rStyle w:val="af5"/>
          <w:rFonts w:ascii="David" w:eastAsia="Calibri" w:hAnsi="David" w:hint="cs"/>
          <w:i w:val="0"/>
          <w:iCs w:val="0"/>
          <w:rtl/>
        </w:rPr>
        <w:t xml:space="preserve"> </w:t>
      </w:r>
      <w:r w:rsidR="00080D3B">
        <w:rPr>
          <w:rStyle w:val="af5"/>
          <w:rFonts w:ascii="David" w:eastAsia="Calibri" w:hAnsi="David" w:hint="cs"/>
          <w:b/>
          <w:bCs/>
          <w:i w:val="0"/>
          <w:iCs w:val="0"/>
          <w:rtl/>
        </w:rPr>
        <w:t xml:space="preserve">וזאת </w:t>
      </w:r>
      <w:r w:rsidR="00080D3B" w:rsidRPr="00A77D0A">
        <w:rPr>
          <w:rStyle w:val="af5"/>
          <w:rFonts w:ascii="David" w:eastAsia="Calibri" w:hAnsi="David" w:hint="cs"/>
          <w:b/>
          <w:bCs/>
          <w:i w:val="0"/>
          <w:iCs w:val="0"/>
          <w:rtl/>
        </w:rPr>
        <w:t>מבלי שבימ"ש קמא נימק את החלטתו ומבלי שקיים דיון</w:t>
      </w:r>
      <w:r w:rsidR="00080D3B">
        <w:rPr>
          <w:rStyle w:val="af5"/>
          <w:rFonts w:ascii="David" w:eastAsia="Calibri" w:hAnsi="David" w:hint="cs"/>
          <w:i w:val="0"/>
          <w:iCs w:val="0"/>
          <w:rtl/>
        </w:rPr>
        <w:t xml:space="preserve"> </w:t>
      </w:r>
      <w:r>
        <w:rPr>
          <w:rStyle w:val="af5"/>
          <w:rFonts w:ascii="David" w:eastAsia="Calibri" w:hAnsi="David" w:hint="cs"/>
          <w:i w:val="0"/>
          <w:iCs w:val="0"/>
          <w:rtl/>
        </w:rPr>
        <w:t>ו</w:t>
      </w:r>
      <w:r w:rsidR="00080D3B">
        <w:rPr>
          <w:rStyle w:val="af5"/>
          <w:rFonts w:ascii="David" w:eastAsia="Calibri" w:hAnsi="David" w:hint="cs"/>
          <w:i w:val="0"/>
          <w:iCs w:val="0"/>
          <w:rtl/>
        </w:rPr>
        <w:t xml:space="preserve">אך ורק </w:t>
      </w:r>
      <w:r>
        <w:rPr>
          <w:rStyle w:val="af5"/>
          <w:rFonts w:ascii="David" w:eastAsia="Calibri" w:hAnsi="David" w:hint="cs"/>
          <w:i w:val="0"/>
          <w:iCs w:val="0"/>
          <w:rtl/>
        </w:rPr>
        <w:t xml:space="preserve">בהסתמך על </w:t>
      </w:r>
      <w:r w:rsidR="003F543F">
        <w:rPr>
          <w:rStyle w:val="af5"/>
          <w:rFonts w:ascii="David" w:eastAsia="Calibri" w:hAnsi="David" w:hint="cs"/>
          <w:i w:val="0"/>
          <w:iCs w:val="0"/>
          <w:rtl/>
        </w:rPr>
        <w:t xml:space="preserve">המלצות </w:t>
      </w:r>
      <w:r>
        <w:rPr>
          <w:rStyle w:val="af5"/>
          <w:rFonts w:ascii="David" w:eastAsia="Calibri" w:hAnsi="David" w:hint="cs"/>
          <w:i w:val="0"/>
          <w:iCs w:val="0"/>
          <w:rtl/>
        </w:rPr>
        <w:t>עו"ס וסדרי דין ואפוטרופוס לדין</w:t>
      </w:r>
      <w:r w:rsidR="009862F9">
        <w:rPr>
          <w:rStyle w:val="af5"/>
          <w:rFonts w:ascii="David" w:eastAsia="Calibri" w:hAnsi="David" w:hint="cs"/>
          <w:i w:val="0"/>
          <w:iCs w:val="0"/>
          <w:rtl/>
        </w:rPr>
        <w:t>,</w:t>
      </w:r>
      <w:r w:rsidR="009862F9" w:rsidRPr="009862F9">
        <w:rPr>
          <w:rStyle w:val="af5"/>
          <w:rFonts w:ascii="David" w:eastAsia="Calibri" w:hAnsi="David" w:hint="cs"/>
          <w:i w:val="0"/>
          <w:iCs w:val="0"/>
          <w:rtl/>
        </w:rPr>
        <w:t xml:space="preserve"> </w:t>
      </w:r>
      <w:r w:rsidR="009862F9">
        <w:rPr>
          <w:rStyle w:val="af5"/>
          <w:rFonts w:ascii="David" w:eastAsia="Calibri" w:hAnsi="David" w:hint="cs"/>
          <w:i w:val="0"/>
          <w:iCs w:val="0"/>
          <w:rtl/>
        </w:rPr>
        <w:t>למרות שה</w:t>
      </w:r>
      <w:r w:rsidR="00080D3B">
        <w:rPr>
          <w:rStyle w:val="af5"/>
          <w:rFonts w:ascii="David" w:eastAsia="Calibri" w:hAnsi="David" w:hint="cs"/>
          <w:i w:val="0"/>
          <w:iCs w:val="0"/>
          <w:rtl/>
        </w:rPr>
        <w:t xml:space="preserve">מבקש התנגד ואף טען כי גם </w:t>
      </w:r>
      <w:r w:rsidR="009862F9">
        <w:rPr>
          <w:rStyle w:val="af5"/>
          <w:rFonts w:ascii="David" w:eastAsia="Calibri" w:hAnsi="David" w:hint="cs"/>
          <w:i w:val="0"/>
          <w:iCs w:val="0"/>
          <w:rtl/>
        </w:rPr>
        <w:t>שתי הקטינות היותר גדולות אינן מעוניינות באבחון זה</w:t>
      </w:r>
      <w:r w:rsidRPr="00A77D0A">
        <w:rPr>
          <w:rStyle w:val="af5"/>
          <w:rFonts w:ascii="David" w:eastAsia="Calibri" w:hAnsi="David" w:hint="cs"/>
          <w:b/>
          <w:bCs/>
          <w:i w:val="0"/>
          <w:iCs w:val="0"/>
          <w:rtl/>
        </w:rPr>
        <w:t>.</w:t>
      </w:r>
    </w:p>
    <w:p w:rsidR="00080D3B" w:rsidRPr="00080D3B" w:rsidRDefault="00080D3B" w:rsidP="00080D3B">
      <w:pPr>
        <w:pStyle w:val="affffc"/>
        <w:rPr>
          <w:rStyle w:val="af5"/>
          <w:rFonts w:ascii="David" w:eastAsia="Calibri" w:hAnsi="David"/>
          <w:i w:val="0"/>
          <w:iCs w:val="0"/>
          <w:rtl/>
        </w:rPr>
      </w:pPr>
    </w:p>
    <w:p w:rsidR="00C260C0" w:rsidRDefault="00C260C0" w:rsidP="00BE1FCB">
      <w:pPr>
        <w:pStyle w:val="affffc"/>
        <w:numPr>
          <w:ilvl w:val="0"/>
          <w:numId w:val="11"/>
        </w:numPr>
        <w:spacing w:line="360" w:lineRule="auto"/>
        <w:jc w:val="both"/>
        <w:rPr>
          <w:rStyle w:val="af5"/>
          <w:rFonts w:ascii="David" w:eastAsia="Calibri" w:hAnsi="David"/>
          <w:i w:val="0"/>
          <w:iCs w:val="0"/>
        </w:rPr>
      </w:pPr>
      <w:r>
        <w:rPr>
          <w:rStyle w:val="af5"/>
          <w:rFonts w:ascii="David" w:eastAsia="Calibri" w:hAnsi="David" w:hint="cs"/>
          <w:i w:val="0"/>
          <w:iCs w:val="0"/>
          <w:rtl/>
        </w:rPr>
        <w:t xml:space="preserve">המבקש ערער על החלטות אלו וערכאת הערעור (כב' השופטת אספרנצה אלון) קיבלה </w:t>
      </w:r>
      <w:r w:rsidR="00A77D0A">
        <w:rPr>
          <w:rStyle w:val="af5"/>
          <w:rFonts w:ascii="David" w:eastAsia="Calibri" w:hAnsi="David" w:hint="cs"/>
          <w:i w:val="0"/>
          <w:iCs w:val="0"/>
          <w:rtl/>
        </w:rPr>
        <w:t xml:space="preserve">בפסה"ד הערעורי </w:t>
      </w:r>
      <w:r>
        <w:rPr>
          <w:rStyle w:val="af5"/>
          <w:rFonts w:ascii="David" w:eastAsia="Calibri" w:hAnsi="David" w:hint="cs"/>
          <w:i w:val="0"/>
          <w:iCs w:val="0"/>
          <w:rtl/>
        </w:rPr>
        <w:t xml:space="preserve">את הערעור </w:t>
      </w:r>
      <w:r w:rsidR="003F7BBD">
        <w:rPr>
          <w:rStyle w:val="af5"/>
          <w:rFonts w:ascii="David" w:eastAsia="Calibri" w:hAnsi="David" w:hint="cs"/>
          <w:i w:val="0"/>
          <w:iCs w:val="0"/>
          <w:rtl/>
        </w:rPr>
        <w:t>וביטלה את החלטתו של בימ"ש קמא בדבר עריכת האבחונים</w:t>
      </w:r>
      <w:r w:rsidR="009862F9">
        <w:rPr>
          <w:rStyle w:val="af5"/>
          <w:rFonts w:ascii="David" w:eastAsia="Calibri" w:hAnsi="David" w:hint="cs"/>
          <w:i w:val="0"/>
          <w:iCs w:val="0"/>
          <w:rtl/>
        </w:rPr>
        <w:t xml:space="preserve">, תוך שנקבע כי כפיית אבחונים על הקטינות בניגוד לרצונן עלולה להחריף את </w:t>
      </w:r>
      <w:r w:rsidR="009862F9">
        <w:rPr>
          <w:rStyle w:val="af5"/>
          <w:rFonts w:ascii="David" w:eastAsia="Calibri" w:hAnsi="David" w:hint="cs"/>
          <w:i w:val="0"/>
          <w:iCs w:val="0"/>
          <w:rtl/>
        </w:rPr>
        <w:lastRenderedPageBreak/>
        <w:t>הקרעים בקשר המשפחתי.</w:t>
      </w:r>
      <w:r w:rsidR="003F7BBD">
        <w:rPr>
          <w:rStyle w:val="af5"/>
          <w:rFonts w:ascii="David" w:eastAsia="Calibri" w:hAnsi="David" w:hint="cs"/>
          <w:i w:val="0"/>
          <w:iCs w:val="0"/>
          <w:rtl/>
        </w:rPr>
        <w:t xml:space="preserve"> </w:t>
      </w:r>
      <w:r w:rsidR="003F543F">
        <w:rPr>
          <w:rStyle w:val="af5"/>
          <w:rFonts w:ascii="David" w:eastAsia="Calibri" w:hAnsi="David" w:hint="cs"/>
          <w:i w:val="0"/>
          <w:iCs w:val="0"/>
          <w:rtl/>
        </w:rPr>
        <w:t>&gt;&gt;</w:t>
      </w:r>
      <w:r w:rsidR="003F7BBD">
        <w:rPr>
          <w:rStyle w:val="af5"/>
          <w:rFonts w:ascii="David" w:eastAsia="Calibri" w:hAnsi="David" w:hint="cs"/>
          <w:i w:val="0"/>
          <w:iCs w:val="0"/>
          <w:rtl/>
        </w:rPr>
        <w:t xml:space="preserve"> ודוק: </w:t>
      </w:r>
      <w:r w:rsidR="00A77D0A">
        <w:rPr>
          <w:rStyle w:val="af5"/>
          <w:rFonts w:ascii="David" w:eastAsia="Calibri" w:hAnsi="David" w:hint="cs"/>
          <w:i w:val="0"/>
          <w:iCs w:val="0"/>
          <w:rtl/>
        </w:rPr>
        <w:t xml:space="preserve">פסה"ד הערעורי לא שלל </w:t>
      </w:r>
      <w:r w:rsidR="003F7BBD">
        <w:rPr>
          <w:rStyle w:val="af5"/>
          <w:rFonts w:ascii="David" w:eastAsia="Calibri" w:hAnsi="David" w:hint="cs"/>
          <w:i w:val="0"/>
          <w:iCs w:val="0"/>
          <w:rtl/>
        </w:rPr>
        <w:t xml:space="preserve">כלל את </w:t>
      </w:r>
      <w:r w:rsidR="00A77D0A">
        <w:rPr>
          <w:rStyle w:val="af5"/>
          <w:rFonts w:ascii="David" w:eastAsia="Calibri" w:hAnsi="David" w:hint="cs"/>
          <w:i w:val="0"/>
          <w:iCs w:val="0"/>
          <w:rtl/>
        </w:rPr>
        <w:t xml:space="preserve">אפשרות </w:t>
      </w:r>
      <w:r w:rsidR="009862F9">
        <w:rPr>
          <w:rStyle w:val="af5"/>
          <w:rFonts w:ascii="David" w:eastAsia="Calibri" w:hAnsi="David" w:hint="cs"/>
          <w:i w:val="0"/>
          <w:iCs w:val="0"/>
          <w:rtl/>
        </w:rPr>
        <w:t xml:space="preserve">ביהמ"ש להחליט על עריכת האבחון, ובלבד שלאור הנטען בדבר התנגדות </w:t>
      </w:r>
      <w:r w:rsidR="00080D3B">
        <w:rPr>
          <w:rStyle w:val="af5"/>
          <w:rFonts w:ascii="David" w:eastAsia="Calibri" w:hAnsi="David" w:hint="cs"/>
          <w:i w:val="0"/>
          <w:iCs w:val="0"/>
          <w:rtl/>
        </w:rPr>
        <w:t>המבקש ו</w:t>
      </w:r>
      <w:r w:rsidR="009862F9">
        <w:rPr>
          <w:rStyle w:val="af5"/>
          <w:rFonts w:ascii="David" w:eastAsia="Calibri" w:hAnsi="David" w:hint="cs"/>
          <w:i w:val="0"/>
          <w:iCs w:val="0"/>
          <w:rtl/>
        </w:rPr>
        <w:t xml:space="preserve">הקטינים, החלטה הכופה אבחון </w:t>
      </w:r>
      <w:r w:rsidR="00080D3B">
        <w:rPr>
          <w:rStyle w:val="af5"/>
          <w:rFonts w:ascii="David" w:eastAsia="Calibri" w:hAnsi="David" w:hint="cs"/>
          <w:i w:val="0"/>
          <w:iCs w:val="0"/>
          <w:rtl/>
        </w:rPr>
        <w:t xml:space="preserve">פסיכו-דיאגנוסטי </w:t>
      </w:r>
      <w:r w:rsidR="009862F9">
        <w:rPr>
          <w:rStyle w:val="af5"/>
          <w:rFonts w:ascii="David" w:eastAsia="Calibri" w:hAnsi="David" w:hint="cs"/>
          <w:i w:val="0"/>
          <w:iCs w:val="0"/>
          <w:rtl/>
        </w:rPr>
        <w:t xml:space="preserve">על </w:t>
      </w:r>
      <w:r w:rsidR="00080D3B">
        <w:rPr>
          <w:rStyle w:val="af5"/>
          <w:rFonts w:ascii="David" w:eastAsia="Calibri" w:hAnsi="David" w:hint="cs"/>
          <w:i w:val="0"/>
          <w:iCs w:val="0"/>
          <w:rtl/>
        </w:rPr>
        <w:t xml:space="preserve">הקטינים </w:t>
      </w:r>
      <w:r w:rsidR="00BE1FCB">
        <w:rPr>
          <w:rStyle w:val="af5"/>
          <w:rFonts w:ascii="David" w:eastAsia="Calibri" w:hAnsi="David" w:hint="cs"/>
          <w:i w:val="0"/>
          <w:iCs w:val="0"/>
          <w:rtl/>
        </w:rPr>
        <w:t>ראוי לה ש</w:t>
      </w:r>
      <w:r w:rsidR="00080D3B">
        <w:rPr>
          <w:rStyle w:val="af5"/>
          <w:rFonts w:ascii="David" w:eastAsia="Calibri" w:hAnsi="David" w:hint="cs"/>
          <w:i w:val="0"/>
          <w:iCs w:val="0"/>
          <w:rtl/>
        </w:rPr>
        <w:t>תינתן</w:t>
      </w:r>
      <w:r w:rsidR="00BE1FCB">
        <w:rPr>
          <w:rStyle w:val="af5"/>
          <w:rFonts w:ascii="David" w:eastAsia="Calibri" w:hAnsi="David" w:hint="cs"/>
          <w:i w:val="0"/>
          <w:iCs w:val="0"/>
          <w:rtl/>
        </w:rPr>
        <w:t xml:space="preserve"> רק לאחר</w:t>
      </w:r>
      <w:r w:rsidR="003F543F">
        <w:rPr>
          <w:rStyle w:val="af5"/>
          <w:rFonts w:ascii="David" w:eastAsia="Calibri" w:hAnsi="David" w:hint="cs"/>
          <w:i w:val="0"/>
          <w:iCs w:val="0"/>
          <w:rtl/>
        </w:rPr>
        <w:t xml:space="preserve"> </w:t>
      </w:r>
      <w:r w:rsidR="003F7BBD">
        <w:rPr>
          <w:rStyle w:val="af5"/>
          <w:rFonts w:ascii="David" w:eastAsia="Calibri" w:hAnsi="David" w:hint="cs"/>
          <w:i w:val="0"/>
          <w:iCs w:val="0"/>
          <w:rtl/>
        </w:rPr>
        <w:t>"</w:t>
      </w:r>
      <w:r w:rsidR="003F7BBD" w:rsidRPr="003F543F">
        <w:rPr>
          <w:rStyle w:val="af5"/>
          <w:rFonts w:ascii="Aharoni" w:eastAsia="Calibri" w:hAnsi="Aharoni" w:cs="Aharoni"/>
          <w:i w:val="0"/>
          <w:iCs w:val="0"/>
          <w:rtl/>
        </w:rPr>
        <w:t>קבלת עמדה מתכללת של ועדת תסקירים</w:t>
      </w:r>
      <w:r w:rsidR="003F543F">
        <w:rPr>
          <w:rStyle w:val="af5"/>
          <w:rFonts w:ascii="Aharoni" w:eastAsia="Calibri" w:hAnsi="Aharoni" w:cs="Aharoni" w:hint="cs"/>
          <w:i w:val="0"/>
          <w:iCs w:val="0"/>
          <w:rtl/>
        </w:rPr>
        <w:t>,</w:t>
      </w:r>
      <w:r w:rsidR="003F7BBD" w:rsidRPr="003F543F">
        <w:rPr>
          <w:rStyle w:val="af5"/>
          <w:rFonts w:ascii="Aharoni" w:eastAsia="Calibri" w:hAnsi="Aharoni" w:cs="Aharoni"/>
          <w:i w:val="0"/>
          <w:iCs w:val="0"/>
          <w:rtl/>
        </w:rPr>
        <w:t xml:space="preserve"> שתקבל מידע ישיר מהגורמים המטפלים בהורים, מצוות מרכז הקשר, ולאחר שיחה עם הקטינות התאומות"</w:t>
      </w:r>
      <w:r w:rsidR="003F7BBD">
        <w:rPr>
          <w:rStyle w:val="af5"/>
          <w:rFonts w:ascii="David" w:eastAsia="Calibri" w:hAnsi="David" w:hint="cs"/>
          <w:i w:val="0"/>
          <w:iCs w:val="0"/>
          <w:rtl/>
        </w:rPr>
        <w:t xml:space="preserve"> (</w:t>
      </w:r>
      <w:r w:rsidR="003F7BBD" w:rsidRPr="00010C62">
        <w:rPr>
          <w:rStyle w:val="af5"/>
          <w:rFonts w:ascii="David" w:eastAsia="Calibri" w:hAnsi="David" w:hint="cs"/>
          <w:i w:val="0"/>
          <w:iCs w:val="0"/>
          <w:sz w:val="20"/>
          <w:szCs w:val="20"/>
          <w:rtl/>
        </w:rPr>
        <w:t>סע' 22 לפס</w:t>
      </w:r>
      <w:r w:rsidR="00B8175D">
        <w:rPr>
          <w:rStyle w:val="af5"/>
          <w:rFonts w:ascii="David" w:eastAsia="Calibri" w:hAnsi="David" w:hint="cs"/>
          <w:i w:val="0"/>
          <w:iCs w:val="0"/>
          <w:sz w:val="20"/>
          <w:szCs w:val="20"/>
          <w:rtl/>
        </w:rPr>
        <w:t>ה"ד הערעורי</w:t>
      </w:r>
      <w:r w:rsidR="003F7BBD" w:rsidRPr="00010C62">
        <w:rPr>
          <w:rStyle w:val="af5"/>
          <w:rFonts w:ascii="David" w:eastAsia="Calibri" w:hAnsi="David" w:hint="cs"/>
          <w:i w:val="0"/>
          <w:iCs w:val="0"/>
          <w:sz w:val="20"/>
          <w:szCs w:val="20"/>
          <w:rtl/>
        </w:rPr>
        <w:t>)</w:t>
      </w:r>
      <w:r w:rsidR="00010C62">
        <w:rPr>
          <w:rStyle w:val="af5"/>
          <w:rFonts w:ascii="David" w:eastAsia="Calibri" w:hAnsi="David" w:hint="cs"/>
          <w:i w:val="0"/>
          <w:iCs w:val="0"/>
          <w:rtl/>
        </w:rPr>
        <w:t xml:space="preserve">, </w:t>
      </w:r>
      <w:r w:rsidR="003F7BBD">
        <w:rPr>
          <w:rStyle w:val="af5"/>
          <w:rFonts w:ascii="David" w:eastAsia="Calibri" w:hAnsi="David" w:hint="cs"/>
          <w:i w:val="0"/>
          <w:iCs w:val="0"/>
          <w:rtl/>
        </w:rPr>
        <w:t>לפיכך הורתה ערכאת הערעור</w:t>
      </w:r>
      <w:r w:rsidR="00BE1FCB">
        <w:rPr>
          <w:rStyle w:val="af5"/>
          <w:rFonts w:ascii="David" w:eastAsia="Calibri" w:hAnsi="David" w:hint="cs"/>
          <w:i w:val="0"/>
          <w:iCs w:val="0"/>
          <w:rtl/>
        </w:rPr>
        <w:t xml:space="preserve"> על בטלות ה</w:t>
      </w:r>
      <w:r w:rsidR="003F7BBD">
        <w:rPr>
          <w:rStyle w:val="af5"/>
          <w:rFonts w:ascii="David" w:eastAsia="Calibri" w:hAnsi="David" w:hint="cs"/>
          <w:i w:val="0"/>
          <w:iCs w:val="0"/>
          <w:rtl/>
        </w:rPr>
        <w:t>החלטה המורה על עריכת האבחונים</w:t>
      </w:r>
      <w:r w:rsidR="00BE1FCB">
        <w:rPr>
          <w:rStyle w:val="af5"/>
          <w:rFonts w:ascii="David" w:eastAsia="Calibri" w:hAnsi="David" w:hint="cs"/>
          <w:i w:val="0"/>
          <w:iCs w:val="0"/>
          <w:rtl/>
        </w:rPr>
        <w:t>,</w:t>
      </w:r>
      <w:r w:rsidR="00B8175D">
        <w:rPr>
          <w:rStyle w:val="af5"/>
          <w:rFonts w:ascii="David" w:eastAsia="Calibri" w:hAnsi="David" w:hint="cs"/>
          <w:i w:val="0"/>
          <w:iCs w:val="0"/>
          <w:rtl/>
        </w:rPr>
        <w:t xml:space="preserve"> ברם יחד עם זאת - כך הורתה ערכאת הערעור בפסה"ד הערעורי - </w:t>
      </w:r>
      <w:r w:rsidR="003F7BBD">
        <w:rPr>
          <w:rStyle w:val="af5"/>
          <w:rFonts w:ascii="David" w:eastAsia="Calibri" w:hAnsi="David" w:hint="cs"/>
          <w:i w:val="0"/>
          <w:iCs w:val="0"/>
          <w:rtl/>
        </w:rPr>
        <w:t>ועדת התסקירים תתכנס</w:t>
      </w:r>
      <w:r w:rsidR="00B8175D">
        <w:rPr>
          <w:rStyle w:val="af5"/>
          <w:rFonts w:ascii="David" w:eastAsia="Calibri" w:hAnsi="David" w:hint="cs"/>
          <w:i w:val="0"/>
          <w:iCs w:val="0"/>
          <w:rtl/>
        </w:rPr>
        <w:t>,</w:t>
      </w:r>
      <w:r w:rsidR="003F7BBD">
        <w:rPr>
          <w:rStyle w:val="af5"/>
          <w:rFonts w:ascii="David" w:eastAsia="Calibri" w:hAnsi="David" w:hint="cs"/>
          <w:i w:val="0"/>
          <w:iCs w:val="0"/>
          <w:rtl/>
        </w:rPr>
        <w:t xml:space="preserve"> ו</w:t>
      </w:r>
      <w:r w:rsidR="00B8175D">
        <w:rPr>
          <w:rStyle w:val="af5"/>
          <w:rFonts w:ascii="David" w:eastAsia="Calibri" w:hAnsi="David" w:hint="cs"/>
          <w:i w:val="0"/>
          <w:iCs w:val="0"/>
          <w:rtl/>
        </w:rPr>
        <w:t xml:space="preserve">יוגש תסקיר עדכני, </w:t>
      </w:r>
      <w:r w:rsidR="00010C62">
        <w:rPr>
          <w:rStyle w:val="af5"/>
          <w:rFonts w:ascii="David" w:eastAsia="Calibri" w:hAnsi="David" w:hint="cs"/>
          <w:i w:val="0"/>
          <w:iCs w:val="0"/>
          <w:rtl/>
        </w:rPr>
        <w:t>כאשר</w:t>
      </w:r>
      <w:r w:rsidR="003F7BBD">
        <w:rPr>
          <w:rStyle w:val="af5"/>
          <w:rFonts w:ascii="David" w:eastAsia="Calibri" w:hAnsi="David" w:hint="cs"/>
          <w:i w:val="0"/>
          <w:iCs w:val="0"/>
          <w:rtl/>
        </w:rPr>
        <w:t xml:space="preserve"> </w:t>
      </w:r>
      <w:r w:rsidR="003F7BBD" w:rsidRPr="00010C62">
        <w:rPr>
          <w:rStyle w:val="af5"/>
          <w:rFonts w:ascii="Aharoni" w:eastAsia="Calibri" w:hAnsi="Aharoni" w:cs="Aharoni"/>
          <w:i w:val="0"/>
          <w:iCs w:val="0"/>
          <w:rtl/>
        </w:rPr>
        <w:t>"לאחר קבלת התסקיר העדכני יקיים בימ"ש קמא דיון ויחליט לפי חוכמתו</w:t>
      </w:r>
      <w:r w:rsidR="003F7BBD">
        <w:rPr>
          <w:rStyle w:val="af5"/>
          <w:rFonts w:ascii="David" w:eastAsia="Calibri" w:hAnsi="David" w:hint="cs"/>
          <w:i w:val="0"/>
          <w:iCs w:val="0"/>
          <w:rtl/>
        </w:rPr>
        <w:t xml:space="preserve">" </w:t>
      </w:r>
      <w:r w:rsidR="00010C62">
        <w:rPr>
          <w:rStyle w:val="af5"/>
          <w:rFonts w:ascii="David" w:eastAsia="Calibri" w:hAnsi="David" w:hint="cs"/>
          <w:i w:val="0"/>
          <w:iCs w:val="0"/>
          <w:sz w:val="20"/>
          <w:szCs w:val="20"/>
          <w:rtl/>
        </w:rPr>
        <w:t>(</w:t>
      </w:r>
      <w:r w:rsidR="003F7BBD" w:rsidRPr="00010C62">
        <w:rPr>
          <w:rStyle w:val="af5"/>
          <w:rFonts w:ascii="David" w:eastAsia="Calibri" w:hAnsi="David" w:hint="cs"/>
          <w:i w:val="0"/>
          <w:iCs w:val="0"/>
          <w:sz w:val="20"/>
          <w:szCs w:val="20"/>
          <w:rtl/>
        </w:rPr>
        <w:t>סע' 23 ל</w:t>
      </w:r>
      <w:r w:rsidR="00014BFF" w:rsidRPr="00010C62">
        <w:rPr>
          <w:rStyle w:val="af5"/>
          <w:rFonts w:ascii="David" w:eastAsia="Calibri" w:hAnsi="David" w:hint="cs"/>
          <w:i w:val="0"/>
          <w:iCs w:val="0"/>
          <w:sz w:val="20"/>
          <w:szCs w:val="20"/>
          <w:rtl/>
        </w:rPr>
        <w:t>פסק דינה של ערכאת הערעור</w:t>
      </w:r>
      <w:r w:rsidR="00010C62">
        <w:rPr>
          <w:rStyle w:val="af5"/>
          <w:rFonts w:ascii="David" w:eastAsia="Calibri" w:hAnsi="David" w:hint="cs"/>
          <w:i w:val="0"/>
          <w:iCs w:val="0"/>
          <w:rtl/>
        </w:rPr>
        <w:t>)</w:t>
      </w:r>
      <w:r w:rsidR="00014BFF">
        <w:rPr>
          <w:rStyle w:val="af5"/>
          <w:rFonts w:ascii="David" w:eastAsia="Calibri" w:hAnsi="David" w:hint="cs"/>
          <w:i w:val="0"/>
          <w:iCs w:val="0"/>
          <w:rtl/>
        </w:rPr>
        <w:t xml:space="preserve">. </w:t>
      </w:r>
    </w:p>
    <w:p w:rsidR="00014BFF" w:rsidRPr="00014BFF" w:rsidRDefault="00014BFF" w:rsidP="00014BFF">
      <w:pPr>
        <w:pStyle w:val="affffc"/>
        <w:rPr>
          <w:rStyle w:val="af5"/>
          <w:rFonts w:ascii="David" w:eastAsia="Calibri" w:hAnsi="David"/>
          <w:i w:val="0"/>
          <w:iCs w:val="0"/>
          <w:rtl/>
        </w:rPr>
      </w:pPr>
    </w:p>
    <w:p w:rsidR="00014BFF" w:rsidRPr="00010C62" w:rsidRDefault="00014BFF" w:rsidP="009920B7">
      <w:pPr>
        <w:pStyle w:val="affffc"/>
        <w:numPr>
          <w:ilvl w:val="0"/>
          <w:numId w:val="11"/>
        </w:numPr>
        <w:spacing w:line="360" w:lineRule="auto"/>
        <w:jc w:val="both"/>
        <w:rPr>
          <w:rStyle w:val="af5"/>
          <w:rFonts w:ascii="David" w:eastAsia="Calibri" w:hAnsi="David"/>
          <w:b/>
          <w:bCs/>
          <w:i w:val="0"/>
          <w:iCs w:val="0"/>
        </w:rPr>
      </w:pPr>
      <w:r w:rsidRPr="00010C62">
        <w:rPr>
          <w:rStyle w:val="af5"/>
          <w:rFonts w:ascii="David" w:eastAsia="Calibri" w:hAnsi="David" w:hint="cs"/>
          <w:i w:val="0"/>
          <w:iCs w:val="0"/>
          <w:u w:val="single"/>
          <w:rtl/>
        </w:rPr>
        <w:t>ואכן בימ"ש קמא פעל בדיוק בהתאם להנחיית ערכאת הערעור</w:t>
      </w:r>
      <w:r>
        <w:rPr>
          <w:rStyle w:val="af5"/>
          <w:rFonts w:ascii="David" w:eastAsia="Calibri" w:hAnsi="David" w:hint="cs"/>
          <w:i w:val="0"/>
          <w:iCs w:val="0"/>
          <w:rtl/>
        </w:rPr>
        <w:t xml:space="preserve">: ביום 25.12.22 התקיימה ועדת תסקירים בנוכחות ההורים, פסיכולוגית קלינית, מפקחת מחוזית לסדרי דין, אפוטרופוס לדין וצוות מחלקת </w:t>
      </w:r>
      <w:r w:rsidR="00B8175D">
        <w:rPr>
          <w:rStyle w:val="af5"/>
          <w:rFonts w:ascii="David" w:eastAsia="Calibri" w:hAnsi="David" w:hint="cs"/>
          <w:i w:val="0"/>
          <w:iCs w:val="0"/>
          <w:rtl/>
        </w:rPr>
        <w:t xml:space="preserve">הרווחה </w:t>
      </w:r>
      <w:r w:rsidR="00B8175D" w:rsidRPr="00B8175D">
        <w:rPr>
          <w:rStyle w:val="af5"/>
          <w:rFonts w:ascii="Aharoni" w:eastAsia="Calibri" w:hAnsi="Aharoni" w:cs="Aharoni"/>
          <w:i w:val="0"/>
          <w:iCs w:val="0"/>
          <w:rtl/>
        </w:rPr>
        <w:t>[</w:t>
      </w:r>
      <w:r w:rsidR="00B8175D">
        <w:rPr>
          <w:rStyle w:val="af5"/>
          <w:rFonts w:ascii="Aharoni" w:eastAsia="Calibri" w:hAnsi="Aharoni" w:cs="Aharoni" w:hint="cs"/>
          <w:i w:val="0"/>
          <w:iCs w:val="0"/>
          <w:rtl/>
        </w:rPr>
        <w:t>=</w:t>
      </w:r>
      <w:r w:rsidR="00B8175D" w:rsidRPr="00B8175D">
        <w:rPr>
          <w:rStyle w:val="af5"/>
          <w:rFonts w:ascii="Aharoni" w:eastAsia="Calibri" w:hAnsi="Aharoni" w:cs="Aharoni"/>
          <w:i w:val="0"/>
          <w:iCs w:val="0"/>
          <w:rtl/>
        </w:rPr>
        <w:t>"העמדה המתכללת"]</w:t>
      </w:r>
      <w:r w:rsidR="00B8175D" w:rsidRPr="00B8175D">
        <w:rPr>
          <w:rStyle w:val="af5"/>
          <w:rFonts w:ascii="David" w:eastAsia="Calibri" w:hAnsi="David"/>
          <w:i w:val="0"/>
          <w:iCs w:val="0"/>
          <w:rtl/>
        </w:rPr>
        <w:t>,</w:t>
      </w:r>
      <w:r w:rsidR="00B8175D">
        <w:rPr>
          <w:rStyle w:val="af5"/>
          <w:rFonts w:ascii="Aharoni" w:eastAsia="Calibri" w:hAnsi="Aharoni" w:cs="Aharoni" w:hint="cs"/>
          <w:i w:val="0"/>
          <w:iCs w:val="0"/>
          <w:rtl/>
        </w:rPr>
        <w:t xml:space="preserve"> </w:t>
      </w:r>
      <w:r>
        <w:rPr>
          <w:rStyle w:val="af5"/>
          <w:rFonts w:ascii="David" w:eastAsia="Calibri" w:hAnsi="David" w:hint="cs"/>
          <w:i w:val="0"/>
          <w:iCs w:val="0"/>
          <w:rtl/>
        </w:rPr>
        <w:t>ועדת התסקירים</w:t>
      </w:r>
      <w:r w:rsidR="00B8175D">
        <w:rPr>
          <w:rStyle w:val="af5"/>
          <w:rFonts w:ascii="David" w:eastAsia="Calibri" w:hAnsi="David" w:hint="cs"/>
          <w:i w:val="0"/>
          <w:iCs w:val="0"/>
          <w:rtl/>
        </w:rPr>
        <w:t>, בשיתוף כלל הגורמים המקצועיים, ישבה על המדוכה,</w:t>
      </w:r>
      <w:r>
        <w:rPr>
          <w:rStyle w:val="af5"/>
          <w:rFonts w:ascii="David" w:eastAsia="Calibri" w:hAnsi="David" w:hint="cs"/>
          <w:i w:val="0"/>
          <w:iCs w:val="0"/>
          <w:rtl/>
        </w:rPr>
        <w:t xml:space="preserve"> </w:t>
      </w:r>
      <w:r w:rsidR="00B8175D">
        <w:rPr>
          <w:rStyle w:val="af5"/>
          <w:rFonts w:ascii="David" w:eastAsia="Calibri" w:hAnsi="David" w:hint="cs"/>
          <w:i w:val="0"/>
          <w:iCs w:val="0"/>
          <w:rtl/>
        </w:rPr>
        <w:t xml:space="preserve">ובסופו של יום, </w:t>
      </w:r>
      <w:r w:rsidR="00B8175D" w:rsidRPr="009920B7">
        <w:rPr>
          <w:rStyle w:val="af5"/>
          <w:rFonts w:ascii="David" w:eastAsia="Calibri" w:hAnsi="David" w:hint="cs"/>
          <w:b/>
          <w:bCs/>
          <w:i w:val="0"/>
          <w:iCs w:val="0"/>
          <w:rtl/>
        </w:rPr>
        <w:t>לאחר תיכלול</w:t>
      </w:r>
      <w:r w:rsidR="009920B7">
        <w:rPr>
          <w:rStyle w:val="af5"/>
          <w:rFonts w:ascii="David" w:eastAsia="Calibri" w:hAnsi="David" w:hint="cs"/>
          <w:i w:val="0"/>
          <w:iCs w:val="0"/>
          <w:rtl/>
        </w:rPr>
        <w:t>, הגיעה למסקנה</w:t>
      </w:r>
      <w:r>
        <w:rPr>
          <w:rStyle w:val="af5"/>
          <w:rFonts w:ascii="David" w:eastAsia="Calibri" w:hAnsi="David" w:hint="cs"/>
          <w:i w:val="0"/>
          <w:iCs w:val="0"/>
          <w:rtl/>
        </w:rPr>
        <w:t xml:space="preserve"> כי קיים ניכור הורי כזה או אחר בין הקטינים לאם, הקטינים ו/או חלקם נמצאים במצוקה רגשית, ב</w:t>
      </w:r>
      <w:r w:rsidR="00010C62">
        <w:rPr>
          <w:rStyle w:val="af5"/>
          <w:rFonts w:ascii="David" w:eastAsia="Calibri" w:hAnsi="David" w:hint="cs"/>
          <w:i w:val="0"/>
          <w:iCs w:val="0"/>
          <w:rtl/>
        </w:rPr>
        <w:t>לט</w:t>
      </w:r>
      <w:r>
        <w:rPr>
          <w:rStyle w:val="af5"/>
          <w:rFonts w:ascii="David" w:eastAsia="Calibri" w:hAnsi="David" w:hint="cs"/>
          <w:i w:val="0"/>
          <w:iCs w:val="0"/>
          <w:rtl/>
        </w:rPr>
        <w:t xml:space="preserve"> מאוד הניתוק הרגשי של הקטינים, מנגד המבקש לא גילה נכונות לשיתוף פעולה והתכחש למצב הקטינים, </w:t>
      </w:r>
      <w:r w:rsidRPr="00010C62">
        <w:rPr>
          <w:rStyle w:val="af5"/>
          <w:rFonts w:ascii="David" w:eastAsia="Calibri" w:hAnsi="David" w:hint="cs"/>
          <w:b/>
          <w:bCs/>
          <w:i w:val="0"/>
          <w:iCs w:val="0"/>
          <w:rtl/>
        </w:rPr>
        <w:t>ועל כן</w:t>
      </w:r>
      <w:r w:rsidR="009920B7">
        <w:rPr>
          <w:rStyle w:val="af5"/>
          <w:rFonts w:ascii="David" w:eastAsia="Calibri" w:hAnsi="David" w:hint="cs"/>
          <w:b/>
          <w:bCs/>
          <w:i w:val="0"/>
          <w:iCs w:val="0"/>
          <w:rtl/>
        </w:rPr>
        <w:t xml:space="preserve"> </w:t>
      </w:r>
      <w:r w:rsidR="009920B7" w:rsidRPr="009920B7">
        <w:rPr>
          <w:rStyle w:val="af5"/>
          <w:rFonts w:ascii="David" w:eastAsia="Calibri" w:hAnsi="David" w:hint="cs"/>
          <w:b/>
          <w:bCs/>
          <w:i w:val="0"/>
          <w:iCs w:val="0"/>
          <w:u w:val="single"/>
          <w:rtl/>
        </w:rPr>
        <w:t>לאחר תיכלול</w:t>
      </w:r>
      <w:r w:rsidRPr="00010C62">
        <w:rPr>
          <w:rStyle w:val="af5"/>
          <w:rFonts w:ascii="David" w:eastAsia="Calibri" w:hAnsi="David" w:hint="cs"/>
          <w:b/>
          <w:bCs/>
          <w:i w:val="0"/>
          <w:iCs w:val="0"/>
          <w:rtl/>
        </w:rPr>
        <w:t xml:space="preserve"> גיבשה ועדת התסקירים המלצות</w:t>
      </w:r>
      <w:r w:rsidR="00010C62">
        <w:rPr>
          <w:rStyle w:val="af5"/>
          <w:rFonts w:ascii="David" w:eastAsia="Calibri" w:hAnsi="David" w:hint="cs"/>
          <w:b/>
          <w:bCs/>
          <w:i w:val="0"/>
          <w:iCs w:val="0"/>
          <w:rtl/>
        </w:rPr>
        <w:t xml:space="preserve"> כוללות,</w:t>
      </w:r>
      <w:r w:rsidRPr="00010C62">
        <w:rPr>
          <w:rStyle w:val="af5"/>
          <w:rFonts w:ascii="David" w:eastAsia="Calibri" w:hAnsi="David" w:hint="cs"/>
          <w:b/>
          <w:bCs/>
          <w:i w:val="0"/>
          <w:iCs w:val="0"/>
          <w:rtl/>
        </w:rPr>
        <w:t xml:space="preserve"> שכללו בין היתר המלצה לעריכת האבחון לקטינים. </w:t>
      </w:r>
    </w:p>
    <w:p w:rsidR="00014BFF" w:rsidRPr="00014BFF" w:rsidRDefault="00014BFF" w:rsidP="00014BFF">
      <w:pPr>
        <w:pStyle w:val="affffc"/>
        <w:rPr>
          <w:rStyle w:val="af5"/>
          <w:rFonts w:ascii="David" w:eastAsia="Calibri" w:hAnsi="David"/>
          <w:i w:val="0"/>
          <w:iCs w:val="0"/>
          <w:rtl/>
        </w:rPr>
      </w:pPr>
    </w:p>
    <w:p w:rsidR="00014BFF" w:rsidRDefault="009920B7" w:rsidP="009920B7">
      <w:pPr>
        <w:pStyle w:val="affffc"/>
        <w:numPr>
          <w:ilvl w:val="0"/>
          <w:numId w:val="11"/>
        </w:numPr>
        <w:spacing w:line="360" w:lineRule="auto"/>
        <w:jc w:val="both"/>
        <w:rPr>
          <w:rStyle w:val="af5"/>
          <w:rFonts w:ascii="David" w:eastAsia="Calibri" w:hAnsi="David"/>
          <w:i w:val="0"/>
          <w:iCs w:val="0"/>
        </w:rPr>
      </w:pPr>
      <w:r>
        <w:rPr>
          <w:rStyle w:val="af5"/>
          <w:rFonts w:ascii="David" w:eastAsia="Calibri" w:hAnsi="David" w:hint="cs"/>
          <w:i w:val="0"/>
          <w:iCs w:val="0"/>
          <w:rtl/>
        </w:rPr>
        <w:t xml:space="preserve">לאחר קבלת תסקיר העו"ס אשר הביאה את המלצת ועדת התסקירים, ביקש </w:t>
      </w:r>
      <w:r w:rsidR="00014BFF">
        <w:rPr>
          <w:rStyle w:val="af5"/>
          <w:rFonts w:ascii="David" w:eastAsia="Calibri" w:hAnsi="David" w:hint="cs"/>
          <w:i w:val="0"/>
          <w:iCs w:val="0"/>
          <w:rtl/>
        </w:rPr>
        <w:t>בימ"ש קמא את עמדות הצדדים</w:t>
      </w:r>
      <w:r>
        <w:rPr>
          <w:rStyle w:val="af5"/>
          <w:rFonts w:ascii="David" w:eastAsia="Calibri" w:hAnsi="David" w:hint="cs"/>
          <w:i w:val="0"/>
          <w:iCs w:val="0"/>
          <w:rtl/>
        </w:rPr>
        <w:t>:</w:t>
      </w:r>
      <w:r w:rsidR="00014BFF">
        <w:rPr>
          <w:rStyle w:val="af5"/>
          <w:rFonts w:ascii="David" w:eastAsia="Calibri" w:hAnsi="David" w:hint="cs"/>
          <w:i w:val="0"/>
          <w:iCs w:val="0"/>
          <w:rtl/>
        </w:rPr>
        <w:t xml:space="preserve"> המשיבה, וגם האפוטרופוס לדין, תמכו בביצוע האבחון, תוך שנימקו את עמדתם, לעומת המבקש שהתנגד בתוקף לביצוע האבחונים, </w:t>
      </w:r>
      <w:r>
        <w:rPr>
          <w:rStyle w:val="af5"/>
          <w:rFonts w:ascii="David" w:eastAsia="Calibri" w:hAnsi="David" w:hint="cs"/>
          <w:i w:val="0"/>
          <w:iCs w:val="0"/>
          <w:rtl/>
        </w:rPr>
        <w:t>כ</w:t>
      </w:r>
      <w:r w:rsidR="00014BFF">
        <w:rPr>
          <w:rStyle w:val="af5"/>
          <w:rFonts w:ascii="David" w:eastAsia="Calibri" w:hAnsi="David" w:hint="cs"/>
          <w:i w:val="0"/>
          <w:iCs w:val="0"/>
          <w:rtl/>
        </w:rPr>
        <w:t>שלטענתו (המוטעי</w:t>
      </w:r>
      <w:r w:rsidR="00014BFF">
        <w:rPr>
          <w:rStyle w:val="af5"/>
          <w:rFonts w:ascii="David" w:eastAsia="Calibri" w:hAnsi="David" w:hint="eastAsia"/>
          <w:i w:val="0"/>
          <w:iCs w:val="0"/>
          <w:rtl/>
        </w:rPr>
        <w:t>ת</w:t>
      </w:r>
      <w:r w:rsidR="00014BFF">
        <w:rPr>
          <w:rStyle w:val="af5"/>
          <w:rFonts w:ascii="David" w:eastAsia="Calibri" w:hAnsi="David" w:hint="cs"/>
          <w:i w:val="0"/>
          <w:iCs w:val="0"/>
          <w:rtl/>
        </w:rPr>
        <w:t xml:space="preserve"> כאמור לעיל) </w:t>
      </w:r>
      <w:r>
        <w:rPr>
          <w:rStyle w:val="af5"/>
          <w:rFonts w:ascii="David" w:eastAsia="Calibri" w:hAnsi="David" w:hint="cs"/>
          <w:i w:val="0"/>
          <w:iCs w:val="0"/>
          <w:rtl/>
        </w:rPr>
        <w:t xml:space="preserve">פסה"ד הערעורי קבע </w:t>
      </w:r>
      <w:r w:rsidR="00014BFF">
        <w:rPr>
          <w:rStyle w:val="af5"/>
          <w:rFonts w:ascii="David" w:eastAsia="Calibri" w:hAnsi="David" w:hint="cs"/>
          <w:i w:val="0"/>
          <w:iCs w:val="0"/>
          <w:rtl/>
        </w:rPr>
        <w:t xml:space="preserve">שאין מקום לכפות על הקטינים את ביצוע האבחונים. </w:t>
      </w:r>
    </w:p>
    <w:p w:rsidR="00014BFF" w:rsidRPr="00014BFF" w:rsidRDefault="00014BFF" w:rsidP="00014BFF">
      <w:pPr>
        <w:pStyle w:val="affffc"/>
        <w:rPr>
          <w:rStyle w:val="af5"/>
          <w:rFonts w:ascii="David" w:eastAsia="Calibri" w:hAnsi="David"/>
          <w:i w:val="0"/>
          <w:iCs w:val="0"/>
          <w:rtl/>
        </w:rPr>
      </w:pPr>
    </w:p>
    <w:p w:rsidR="00C13FDE" w:rsidRPr="005D07F2" w:rsidRDefault="00C13FDE" w:rsidP="00815946">
      <w:pPr>
        <w:pStyle w:val="affffc"/>
        <w:numPr>
          <w:ilvl w:val="0"/>
          <w:numId w:val="11"/>
        </w:numPr>
        <w:spacing w:line="360" w:lineRule="auto"/>
        <w:jc w:val="both"/>
        <w:rPr>
          <w:rStyle w:val="af5"/>
          <w:rFonts w:ascii="David" w:eastAsia="Calibri" w:hAnsi="David"/>
          <w:i w:val="0"/>
          <w:iCs w:val="0"/>
          <w:rtl/>
        </w:rPr>
      </w:pPr>
      <w:r w:rsidRPr="005D07F2">
        <w:rPr>
          <w:rStyle w:val="af5"/>
          <w:rFonts w:ascii="David" w:eastAsia="Calibri" w:hAnsi="David" w:hint="cs"/>
          <w:i w:val="0"/>
          <w:iCs w:val="0"/>
          <w:rtl/>
        </w:rPr>
        <w:t xml:space="preserve">לאור עמדות הצדדים, </w:t>
      </w:r>
      <w:r w:rsidRPr="005D07F2">
        <w:rPr>
          <w:rStyle w:val="af5"/>
          <w:rFonts w:ascii="David" w:eastAsia="Calibri" w:hAnsi="David" w:hint="cs"/>
          <w:b/>
          <w:bCs/>
          <w:i w:val="0"/>
          <w:iCs w:val="0"/>
          <w:rtl/>
        </w:rPr>
        <w:t xml:space="preserve">ראה בימ"ש קמא </w:t>
      </w:r>
      <w:r w:rsidR="009920B7" w:rsidRPr="005D07F2">
        <w:rPr>
          <w:rStyle w:val="af5"/>
          <w:rFonts w:ascii="David" w:eastAsia="Calibri" w:hAnsi="David" w:hint="cs"/>
          <w:b/>
          <w:bCs/>
          <w:i w:val="0"/>
          <w:iCs w:val="0"/>
          <w:rtl/>
        </w:rPr>
        <w:t>ל</w:t>
      </w:r>
      <w:r w:rsidRPr="005D07F2">
        <w:rPr>
          <w:rStyle w:val="af5"/>
          <w:rFonts w:ascii="David" w:eastAsia="Calibri" w:hAnsi="David" w:hint="cs"/>
          <w:b/>
          <w:bCs/>
          <w:i w:val="0"/>
          <w:iCs w:val="0"/>
          <w:rtl/>
        </w:rPr>
        <w:t>נכון לקיים דיון במעמד הצדדים</w:t>
      </w:r>
      <w:r w:rsidR="005D07F2" w:rsidRPr="005D07F2">
        <w:rPr>
          <w:rStyle w:val="af5"/>
          <w:rFonts w:ascii="David" w:eastAsia="Calibri" w:hAnsi="David" w:hint="cs"/>
          <w:b/>
          <w:bCs/>
          <w:i w:val="0"/>
          <w:iCs w:val="0"/>
          <w:rtl/>
        </w:rPr>
        <w:t xml:space="preserve">, </w:t>
      </w:r>
      <w:r w:rsidRPr="005D07F2">
        <w:rPr>
          <w:rStyle w:val="af5"/>
          <w:rFonts w:ascii="David" w:eastAsia="Calibri" w:hAnsi="David" w:hint="cs"/>
          <w:b/>
          <w:bCs/>
          <w:i w:val="0"/>
          <w:iCs w:val="0"/>
          <w:rtl/>
        </w:rPr>
        <w:t>האפוטרופוס לדין והעו"ס לסדרי דין</w:t>
      </w:r>
      <w:r w:rsidRPr="005D07F2">
        <w:rPr>
          <w:rStyle w:val="af5"/>
          <w:rFonts w:ascii="David" w:eastAsia="Calibri" w:hAnsi="David" w:hint="cs"/>
          <w:i w:val="0"/>
          <w:iCs w:val="0"/>
          <w:rtl/>
        </w:rPr>
        <w:t xml:space="preserve">. </w:t>
      </w:r>
      <w:r w:rsidR="005D07F2" w:rsidRPr="005D07F2">
        <w:rPr>
          <w:rStyle w:val="af5"/>
          <w:rFonts w:ascii="David" w:eastAsia="Calibri" w:hAnsi="David" w:hint="cs"/>
          <w:i w:val="0"/>
          <w:iCs w:val="0"/>
          <w:rtl/>
        </w:rPr>
        <w:t>(</w:t>
      </w:r>
      <w:r w:rsidR="005D07F2">
        <w:rPr>
          <w:rStyle w:val="af5"/>
          <w:rFonts w:ascii="David" w:eastAsia="Calibri" w:hAnsi="David" w:hint="cs"/>
          <w:i w:val="0"/>
          <w:iCs w:val="0"/>
          <w:rtl/>
        </w:rPr>
        <w:t xml:space="preserve">גם </w:t>
      </w:r>
      <w:r w:rsidR="005D07F2" w:rsidRPr="005D07F2">
        <w:rPr>
          <w:rStyle w:val="af5"/>
          <w:rFonts w:ascii="David" w:eastAsia="Calibri" w:hAnsi="David" w:hint="cs"/>
          <w:i w:val="0"/>
          <w:iCs w:val="0"/>
          <w:rtl/>
        </w:rPr>
        <w:t>פסיכולוג הוועדה</w:t>
      </w:r>
      <w:r w:rsidR="005D07F2">
        <w:rPr>
          <w:rStyle w:val="af5"/>
          <w:rFonts w:ascii="David" w:eastAsia="Calibri" w:hAnsi="David" w:hint="cs"/>
          <w:i w:val="0"/>
          <w:iCs w:val="0"/>
          <w:rtl/>
        </w:rPr>
        <w:t xml:space="preserve"> אמור היה להתייצב </w:t>
      </w:r>
      <w:r w:rsidR="005D07F2" w:rsidRPr="005D07F2">
        <w:rPr>
          <w:rStyle w:val="af5"/>
          <w:rFonts w:ascii="David" w:eastAsia="Calibri" w:hAnsi="David" w:hint="cs"/>
          <w:i w:val="0"/>
          <w:iCs w:val="0"/>
          <w:rtl/>
        </w:rPr>
        <w:t>אך ערב הדיון הוגשה הודעה לפיה הפסיכולוג חולה ונבצר ממנו להתייצב, ברם בשל חשיבות הדיון בימ"ש הותיר על כנו את הדיון).</w:t>
      </w:r>
      <w:r w:rsidR="005D07F2">
        <w:rPr>
          <w:rStyle w:val="af5"/>
          <w:rFonts w:ascii="David" w:eastAsia="Calibri" w:hAnsi="David" w:hint="cs"/>
          <w:i w:val="0"/>
          <w:iCs w:val="0"/>
          <w:rtl/>
        </w:rPr>
        <w:t xml:space="preserve"> </w:t>
      </w:r>
      <w:r w:rsidRPr="005D07F2">
        <w:rPr>
          <w:rStyle w:val="af5"/>
          <w:rFonts w:ascii="David" w:eastAsia="Calibri" w:hAnsi="David" w:hint="cs"/>
          <w:i w:val="0"/>
          <w:iCs w:val="0"/>
          <w:rtl/>
        </w:rPr>
        <w:t xml:space="preserve">במסגרת הדיון חזרו הצדדים על כל טענותיהם בהרחבה רבה, </w:t>
      </w:r>
      <w:r w:rsidR="00010C62" w:rsidRPr="005D07F2">
        <w:rPr>
          <w:rStyle w:val="af5"/>
          <w:rFonts w:ascii="David" w:eastAsia="Calibri" w:hAnsi="David" w:hint="cs"/>
          <w:i w:val="0"/>
          <w:iCs w:val="0"/>
          <w:rtl/>
        </w:rPr>
        <w:t>(פרו' הדיון מונה 9 עמודים</w:t>
      </w:r>
      <w:r w:rsidR="005D07F2">
        <w:rPr>
          <w:rStyle w:val="af5"/>
          <w:rFonts w:ascii="David" w:eastAsia="Calibri" w:hAnsi="David" w:hint="cs"/>
          <w:i w:val="0"/>
          <w:iCs w:val="0"/>
          <w:rtl/>
        </w:rPr>
        <w:t>!</w:t>
      </w:r>
      <w:r w:rsidR="00010C62" w:rsidRPr="005D07F2">
        <w:rPr>
          <w:rStyle w:val="af5"/>
          <w:rFonts w:ascii="David" w:eastAsia="Calibri" w:hAnsi="David" w:hint="cs"/>
          <w:i w:val="0"/>
          <w:iCs w:val="0"/>
          <w:rtl/>
        </w:rPr>
        <w:t xml:space="preserve">), </w:t>
      </w:r>
      <w:r w:rsidR="00010C62" w:rsidRPr="005D07F2">
        <w:rPr>
          <w:rStyle w:val="af5"/>
          <w:rFonts w:ascii="David" w:eastAsia="Calibri" w:hAnsi="David" w:hint="cs"/>
          <w:i w:val="0"/>
          <w:iCs w:val="0"/>
          <w:u w:val="single"/>
          <w:rtl/>
        </w:rPr>
        <w:t>לכל אחד מהמשתתפים בדיון ניתן יומו בהרחבה רבה</w:t>
      </w:r>
      <w:r w:rsidR="00010C62" w:rsidRPr="005D07F2">
        <w:rPr>
          <w:rStyle w:val="af5"/>
          <w:rFonts w:ascii="David" w:eastAsia="Calibri" w:hAnsi="David" w:hint="cs"/>
          <w:i w:val="0"/>
          <w:iCs w:val="0"/>
          <w:rtl/>
        </w:rPr>
        <w:t xml:space="preserve">, </w:t>
      </w:r>
      <w:r w:rsidRPr="005D07F2">
        <w:rPr>
          <w:rStyle w:val="af5"/>
          <w:rFonts w:ascii="David" w:eastAsia="Calibri" w:hAnsi="David" w:hint="cs"/>
          <w:b/>
          <w:bCs/>
          <w:i w:val="0"/>
          <w:iCs w:val="0"/>
          <w:rtl/>
        </w:rPr>
        <w:t>ובסופו של דבר לאחר עיון בכלל החומר שהונח לפניו, לרבות דיווחי העו"ס ו</w:t>
      </w:r>
      <w:r w:rsidR="005D07F2">
        <w:rPr>
          <w:rStyle w:val="af5"/>
          <w:rFonts w:ascii="David" w:eastAsia="Calibri" w:hAnsi="David" w:hint="cs"/>
          <w:b/>
          <w:bCs/>
          <w:i w:val="0"/>
          <w:iCs w:val="0"/>
          <w:rtl/>
        </w:rPr>
        <w:t>ה</w:t>
      </w:r>
      <w:r w:rsidRPr="005D07F2">
        <w:rPr>
          <w:rStyle w:val="af5"/>
          <w:rFonts w:ascii="David" w:eastAsia="Calibri" w:hAnsi="David" w:hint="cs"/>
          <w:b/>
          <w:bCs/>
          <w:i w:val="0"/>
          <w:iCs w:val="0"/>
          <w:rtl/>
        </w:rPr>
        <w:t>אפוטרופוס לדין, המלצות וועדת התסקירים</w:t>
      </w:r>
      <w:r w:rsidR="005D07F2">
        <w:rPr>
          <w:rStyle w:val="af5"/>
          <w:rFonts w:ascii="David" w:eastAsia="Calibri" w:hAnsi="David" w:hint="cs"/>
          <w:b/>
          <w:bCs/>
          <w:i w:val="0"/>
          <w:iCs w:val="0"/>
          <w:rtl/>
        </w:rPr>
        <w:t xml:space="preserve"> בדבר הצורך באבחון,</w:t>
      </w:r>
      <w:r w:rsidRPr="005D07F2">
        <w:rPr>
          <w:rStyle w:val="af5"/>
          <w:rFonts w:ascii="David" w:eastAsia="Calibri" w:hAnsi="David" w:hint="cs"/>
          <w:b/>
          <w:bCs/>
          <w:i w:val="0"/>
          <w:iCs w:val="0"/>
          <w:rtl/>
        </w:rPr>
        <w:t xml:space="preserve"> הדיווחים שהגיעו מצוות מרכז הקשר והבהרת העו"ס לסדרי דין אודות </w:t>
      </w:r>
      <w:r w:rsidR="005D07F2">
        <w:rPr>
          <w:rStyle w:val="af5"/>
          <w:rFonts w:ascii="David" w:eastAsia="Calibri" w:hAnsi="David" w:hint="cs"/>
          <w:b/>
          <w:bCs/>
          <w:i w:val="0"/>
          <w:iCs w:val="0"/>
          <w:rtl/>
        </w:rPr>
        <w:t xml:space="preserve">מטרת </w:t>
      </w:r>
      <w:r w:rsidRPr="005D07F2">
        <w:rPr>
          <w:rStyle w:val="af5"/>
          <w:rFonts w:ascii="David" w:eastAsia="Calibri" w:hAnsi="David" w:hint="cs"/>
          <w:b/>
          <w:bCs/>
          <w:i w:val="0"/>
          <w:iCs w:val="0"/>
          <w:rtl/>
        </w:rPr>
        <w:t>האבחון, ולאחר שבימ"ש קמא נתן את דעתו לטענות הצדדים לרבות לטענות המבקש</w:t>
      </w:r>
      <w:r w:rsidR="00010C62" w:rsidRPr="005D07F2">
        <w:rPr>
          <w:rStyle w:val="af5"/>
          <w:rFonts w:ascii="David" w:eastAsia="Calibri" w:hAnsi="David" w:hint="cs"/>
          <w:b/>
          <w:bCs/>
          <w:i w:val="0"/>
          <w:iCs w:val="0"/>
          <w:rtl/>
        </w:rPr>
        <w:t>,</w:t>
      </w:r>
      <w:r w:rsidRPr="005D07F2">
        <w:rPr>
          <w:rStyle w:val="af5"/>
          <w:rFonts w:ascii="David" w:eastAsia="Calibri" w:hAnsi="David" w:hint="cs"/>
          <w:b/>
          <w:bCs/>
          <w:i w:val="0"/>
          <w:iCs w:val="0"/>
          <w:rtl/>
        </w:rPr>
        <w:t xml:space="preserve"> מצא בימ"ש קמא </w:t>
      </w:r>
      <w:r w:rsidRPr="005D07F2">
        <w:rPr>
          <w:rStyle w:val="af5"/>
          <w:rFonts w:ascii="David" w:eastAsia="Calibri" w:hAnsi="David" w:hint="cs"/>
          <w:b/>
          <w:bCs/>
          <w:i w:val="0"/>
          <w:iCs w:val="0"/>
          <w:u w:val="single"/>
          <w:rtl/>
        </w:rPr>
        <w:t>לאמץ את המלצת וועדת התסקירים</w:t>
      </w:r>
      <w:r w:rsidRPr="005D07F2">
        <w:rPr>
          <w:rStyle w:val="af5"/>
          <w:rFonts w:ascii="David" w:eastAsia="Calibri" w:hAnsi="David" w:hint="cs"/>
          <w:b/>
          <w:bCs/>
          <w:i w:val="0"/>
          <w:iCs w:val="0"/>
          <w:rtl/>
        </w:rPr>
        <w:t xml:space="preserve"> ולהורות על עריכת אבחון פסיכו-דיאגנוסטי ל-3 הקטינים, תוך שפירט את נימוקיו ב</w:t>
      </w:r>
      <w:r w:rsidR="005D07F2">
        <w:rPr>
          <w:rStyle w:val="af5"/>
          <w:rFonts w:ascii="David" w:eastAsia="Calibri" w:hAnsi="David" w:hint="cs"/>
          <w:b/>
          <w:bCs/>
          <w:i w:val="0"/>
          <w:iCs w:val="0"/>
          <w:rtl/>
        </w:rPr>
        <w:t>א</w:t>
      </w:r>
      <w:r w:rsidRPr="005D07F2">
        <w:rPr>
          <w:rStyle w:val="af5"/>
          <w:rFonts w:ascii="David" w:eastAsia="Calibri" w:hAnsi="David" w:hint="cs"/>
          <w:b/>
          <w:bCs/>
          <w:i w:val="0"/>
          <w:iCs w:val="0"/>
          <w:rtl/>
        </w:rPr>
        <w:t>ריכות רבה</w:t>
      </w:r>
      <w:r w:rsidRPr="005D07F2">
        <w:rPr>
          <w:rStyle w:val="af5"/>
          <w:rFonts w:ascii="David" w:eastAsia="Calibri" w:hAnsi="David" w:hint="cs"/>
          <w:i w:val="0"/>
          <w:iCs w:val="0"/>
          <w:rtl/>
        </w:rPr>
        <w:t>: בתחילה דחה בימ"ש קמא מכל וכל את טענות ה</w:t>
      </w:r>
      <w:r w:rsidR="00010C62" w:rsidRPr="005D07F2">
        <w:rPr>
          <w:rStyle w:val="af5"/>
          <w:rFonts w:ascii="David" w:eastAsia="Calibri" w:hAnsi="David" w:hint="cs"/>
          <w:i w:val="0"/>
          <w:iCs w:val="0"/>
          <w:rtl/>
        </w:rPr>
        <w:t>מבקש</w:t>
      </w:r>
      <w:r w:rsidR="005D07F2">
        <w:rPr>
          <w:rStyle w:val="af5"/>
          <w:rFonts w:ascii="David" w:eastAsia="Calibri" w:hAnsi="David" w:hint="cs"/>
          <w:i w:val="0"/>
          <w:iCs w:val="0"/>
          <w:rtl/>
        </w:rPr>
        <w:t xml:space="preserve"> שכביכול פסה"ד הערעורי קבע</w:t>
      </w:r>
      <w:r w:rsidRPr="005D07F2">
        <w:rPr>
          <w:rStyle w:val="af5"/>
          <w:rFonts w:ascii="David" w:eastAsia="Calibri" w:hAnsi="David" w:hint="cs"/>
          <w:i w:val="0"/>
          <w:iCs w:val="0"/>
          <w:rtl/>
        </w:rPr>
        <w:t xml:space="preserve"> </w:t>
      </w:r>
      <w:r w:rsidR="00BE1FCB">
        <w:rPr>
          <w:rStyle w:val="af5"/>
          <w:rFonts w:ascii="David" w:eastAsia="Calibri" w:hAnsi="David" w:hint="cs"/>
          <w:i w:val="0"/>
          <w:iCs w:val="0"/>
          <w:rtl/>
        </w:rPr>
        <w:t>ש</w:t>
      </w:r>
      <w:r w:rsidRPr="005D07F2">
        <w:rPr>
          <w:rStyle w:val="af5"/>
          <w:rFonts w:ascii="David" w:eastAsia="Calibri" w:hAnsi="David" w:hint="cs"/>
          <w:i w:val="0"/>
          <w:iCs w:val="0"/>
          <w:rtl/>
        </w:rPr>
        <w:t xml:space="preserve">אין לערוך כלל אבחון לקטינים, בימ"ש קמא הבהיר </w:t>
      </w:r>
      <w:r w:rsidR="00010C62" w:rsidRPr="005D07F2">
        <w:rPr>
          <w:rStyle w:val="af5"/>
          <w:rFonts w:ascii="David" w:eastAsia="Calibri" w:hAnsi="David" w:hint="cs"/>
          <w:i w:val="0"/>
          <w:iCs w:val="0"/>
          <w:rtl/>
        </w:rPr>
        <w:t xml:space="preserve">בהחלטתו </w:t>
      </w:r>
      <w:r w:rsidRPr="005D07F2">
        <w:rPr>
          <w:rStyle w:val="af5"/>
          <w:rFonts w:ascii="David" w:eastAsia="Calibri" w:hAnsi="David" w:hint="cs"/>
          <w:i w:val="0"/>
          <w:iCs w:val="0"/>
          <w:rtl/>
        </w:rPr>
        <w:t xml:space="preserve">כי </w:t>
      </w:r>
      <w:r w:rsidR="005D07F2">
        <w:rPr>
          <w:rStyle w:val="af5"/>
          <w:rFonts w:ascii="David" w:eastAsia="Calibri" w:hAnsi="David" w:hint="cs"/>
          <w:i w:val="0"/>
          <w:iCs w:val="0"/>
          <w:rtl/>
        </w:rPr>
        <w:t xml:space="preserve">פסה"ד הערעורי </w:t>
      </w:r>
      <w:r w:rsidRPr="005D07F2">
        <w:rPr>
          <w:rStyle w:val="af5"/>
          <w:rFonts w:ascii="David" w:eastAsia="Calibri" w:hAnsi="David" w:hint="cs"/>
          <w:i w:val="0"/>
          <w:iCs w:val="0"/>
          <w:rtl/>
        </w:rPr>
        <w:t xml:space="preserve">כלל לא קבע כך אלא </w:t>
      </w:r>
      <w:r w:rsidR="005D07F2">
        <w:rPr>
          <w:rStyle w:val="af5"/>
          <w:rFonts w:ascii="David" w:eastAsia="Calibri" w:hAnsi="David" w:hint="cs"/>
          <w:i w:val="0"/>
          <w:iCs w:val="0"/>
          <w:rtl/>
        </w:rPr>
        <w:t>כל אשר קבע הינו, ש</w:t>
      </w:r>
      <w:r w:rsidRPr="005D07F2">
        <w:rPr>
          <w:rStyle w:val="af5"/>
          <w:rFonts w:ascii="David" w:eastAsia="Calibri" w:hAnsi="David" w:hint="cs"/>
          <w:i w:val="0"/>
          <w:iCs w:val="0"/>
          <w:rtl/>
        </w:rPr>
        <w:t>לנוכח התנגדות ה</w:t>
      </w:r>
      <w:r w:rsidR="00010C62" w:rsidRPr="005D07F2">
        <w:rPr>
          <w:rStyle w:val="af5"/>
          <w:rFonts w:ascii="David" w:eastAsia="Calibri" w:hAnsi="David" w:hint="cs"/>
          <w:i w:val="0"/>
          <w:iCs w:val="0"/>
          <w:rtl/>
        </w:rPr>
        <w:t>מבקש</w:t>
      </w:r>
      <w:r w:rsidRPr="005D07F2">
        <w:rPr>
          <w:rStyle w:val="af5"/>
          <w:rFonts w:ascii="David" w:eastAsia="Calibri" w:hAnsi="David" w:hint="cs"/>
          <w:i w:val="0"/>
          <w:iCs w:val="0"/>
          <w:rtl/>
        </w:rPr>
        <w:t xml:space="preserve"> והקטינים</w:t>
      </w:r>
      <w:r w:rsidR="005D07F2">
        <w:rPr>
          <w:rStyle w:val="af5"/>
          <w:rFonts w:ascii="David" w:eastAsia="Calibri" w:hAnsi="David" w:hint="cs"/>
          <w:i w:val="0"/>
          <w:iCs w:val="0"/>
          <w:rtl/>
        </w:rPr>
        <w:t xml:space="preserve">, </w:t>
      </w:r>
      <w:r w:rsidRPr="005D07F2">
        <w:rPr>
          <w:rStyle w:val="af5"/>
          <w:rFonts w:ascii="David" w:eastAsia="Calibri" w:hAnsi="David" w:hint="cs"/>
          <w:b/>
          <w:bCs/>
          <w:i w:val="0"/>
          <w:iCs w:val="0"/>
          <w:rtl/>
        </w:rPr>
        <w:t xml:space="preserve">יש </w:t>
      </w:r>
      <w:r w:rsidRPr="005D07F2">
        <w:rPr>
          <w:rStyle w:val="af5"/>
          <w:rFonts w:ascii="David" w:eastAsia="Calibri" w:hAnsi="David" w:hint="cs"/>
          <w:b/>
          <w:bCs/>
          <w:i w:val="0"/>
          <w:iCs w:val="0"/>
          <w:rtl/>
        </w:rPr>
        <w:lastRenderedPageBreak/>
        <w:t>להמתין לקבלת עמדה מתכללת של וועדת התסקירים</w:t>
      </w:r>
      <w:r w:rsidRPr="005D07F2">
        <w:rPr>
          <w:rStyle w:val="af5"/>
          <w:rFonts w:ascii="David" w:eastAsia="Calibri" w:hAnsi="David" w:hint="cs"/>
          <w:i w:val="0"/>
          <w:iCs w:val="0"/>
          <w:rtl/>
        </w:rPr>
        <w:t xml:space="preserve"> </w:t>
      </w:r>
      <w:r w:rsidR="00010C62" w:rsidRPr="005D07F2">
        <w:rPr>
          <w:rStyle w:val="af5"/>
          <w:rFonts w:ascii="David" w:eastAsia="Calibri" w:hAnsi="David" w:hint="cs"/>
          <w:i w:val="0"/>
          <w:iCs w:val="0"/>
          <w:rtl/>
        </w:rPr>
        <w:t xml:space="preserve">&gt; </w:t>
      </w:r>
      <w:r w:rsidR="00010C62" w:rsidRPr="005D07F2">
        <w:rPr>
          <w:rStyle w:val="af5"/>
          <w:rFonts w:ascii="David" w:eastAsia="Calibri" w:hAnsi="David" w:hint="cs"/>
          <w:i w:val="0"/>
          <w:iCs w:val="0"/>
          <w:u w:val="single"/>
          <w:rtl/>
        </w:rPr>
        <w:t xml:space="preserve">וזו </w:t>
      </w:r>
      <w:r w:rsidR="005D07F2" w:rsidRPr="005D07F2">
        <w:rPr>
          <w:rStyle w:val="af5"/>
          <w:rFonts w:ascii="David" w:eastAsia="Calibri" w:hAnsi="David" w:hint="cs"/>
          <w:i w:val="0"/>
          <w:iCs w:val="0"/>
          <w:u w:val="single"/>
          <w:rtl/>
        </w:rPr>
        <w:t xml:space="preserve">אכן </w:t>
      </w:r>
      <w:r w:rsidR="00010C62" w:rsidRPr="005D07F2">
        <w:rPr>
          <w:rStyle w:val="af5"/>
          <w:rFonts w:ascii="David" w:eastAsia="Calibri" w:hAnsi="David" w:hint="cs"/>
          <w:i w:val="0"/>
          <w:iCs w:val="0"/>
          <w:u w:val="single"/>
          <w:rtl/>
        </w:rPr>
        <w:t>נעשת</w:t>
      </w:r>
      <w:r w:rsidR="00051F4A" w:rsidRPr="005D07F2">
        <w:rPr>
          <w:rStyle w:val="af5"/>
          <w:rFonts w:ascii="David" w:eastAsia="Calibri" w:hAnsi="David" w:hint="cs"/>
          <w:i w:val="0"/>
          <w:iCs w:val="0"/>
          <w:u w:val="single"/>
          <w:rtl/>
        </w:rPr>
        <w:t>ה</w:t>
      </w:r>
      <w:r w:rsidR="00051F4A" w:rsidRPr="005D07F2">
        <w:rPr>
          <w:rStyle w:val="af5"/>
          <w:rFonts w:ascii="David" w:eastAsia="Calibri" w:hAnsi="David" w:hint="cs"/>
          <w:i w:val="0"/>
          <w:iCs w:val="0"/>
          <w:rtl/>
        </w:rPr>
        <w:t xml:space="preserve">. </w:t>
      </w:r>
      <w:r w:rsidR="00F657CC" w:rsidRPr="005D07F2">
        <w:rPr>
          <w:rStyle w:val="af5"/>
          <w:rFonts w:ascii="David" w:eastAsia="Calibri" w:hAnsi="David" w:hint="cs"/>
          <w:i w:val="0"/>
          <w:iCs w:val="0"/>
          <w:rtl/>
        </w:rPr>
        <w:t xml:space="preserve">בימ"ש קמא בהחלטתו </w:t>
      </w:r>
      <w:r w:rsidR="00F657CC" w:rsidRPr="005D07F2">
        <w:rPr>
          <w:rStyle w:val="af5"/>
          <w:rFonts w:ascii="David" w:eastAsia="Calibri" w:hAnsi="David" w:hint="cs"/>
          <w:i w:val="0"/>
          <w:iCs w:val="0"/>
          <w:u w:val="single"/>
          <w:rtl/>
        </w:rPr>
        <w:t>פירט באריכות רבה</w:t>
      </w:r>
      <w:r w:rsidR="00F657CC" w:rsidRPr="005D07F2">
        <w:rPr>
          <w:rStyle w:val="af5"/>
          <w:rFonts w:ascii="David" w:eastAsia="Calibri" w:hAnsi="David" w:hint="cs"/>
          <w:i w:val="0"/>
          <w:iCs w:val="0"/>
          <w:rtl/>
        </w:rPr>
        <w:t xml:space="preserve"> את טענות הצדד</w:t>
      </w:r>
      <w:r w:rsidR="00815946">
        <w:rPr>
          <w:rStyle w:val="af5"/>
          <w:rFonts w:ascii="David" w:eastAsia="Calibri" w:hAnsi="David" w:hint="cs"/>
          <w:i w:val="0"/>
          <w:iCs w:val="0"/>
          <w:rtl/>
        </w:rPr>
        <w:t xml:space="preserve">ים, </w:t>
      </w:r>
      <w:r w:rsidR="00F657CC" w:rsidRPr="005D07F2">
        <w:rPr>
          <w:rStyle w:val="af5"/>
          <w:rFonts w:ascii="David" w:eastAsia="Calibri" w:hAnsi="David" w:hint="cs"/>
          <w:i w:val="0"/>
          <w:iCs w:val="0"/>
          <w:u w:val="single"/>
          <w:rtl/>
        </w:rPr>
        <w:t>פירט באריכות רבה</w:t>
      </w:r>
      <w:r w:rsidR="00F657CC" w:rsidRPr="005D07F2">
        <w:rPr>
          <w:rStyle w:val="af5"/>
          <w:rFonts w:ascii="David" w:eastAsia="Calibri" w:hAnsi="David" w:hint="cs"/>
          <w:i w:val="0"/>
          <w:iCs w:val="0"/>
          <w:rtl/>
        </w:rPr>
        <w:t xml:space="preserve"> את נימוקיו</w:t>
      </w:r>
      <w:r w:rsidR="005D07F2">
        <w:rPr>
          <w:rStyle w:val="af5"/>
          <w:rFonts w:ascii="David" w:eastAsia="Calibri" w:hAnsi="David" w:hint="cs"/>
          <w:i w:val="0"/>
          <w:iCs w:val="0"/>
          <w:rtl/>
        </w:rPr>
        <w:t xml:space="preserve"> מדוע בנסיבות הללו יש</w:t>
      </w:r>
      <w:r w:rsidR="00F657CC" w:rsidRPr="005D07F2">
        <w:rPr>
          <w:rStyle w:val="af5"/>
          <w:rFonts w:ascii="David" w:eastAsia="Calibri" w:hAnsi="David" w:hint="cs"/>
          <w:i w:val="0"/>
          <w:iCs w:val="0"/>
          <w:rtl/>
        </w:rPr>
        <w:t xml:space="preserve"> לאמץ את החלטת וועדת התסקירים, </w:t>
      </w:r>
      <w:r w:rsidR="00051F4A" w:rsidRPr="005D07F2">
        <w:rPr>
          <w:rStyle w:val="af5"/>
          <w:rFonts w:ascii="David" w:eastAsia="Calibri" w:hAnsi="David" w:hint="cs"/>
          <w:i w:val="0"/>
          <w:iCs w:val="0"/>
          <w:rtl/>
        </w:rPr>
        <w:t>ו</w:t>
      </w:r>
      <w:r w:rsidR="00F657CC" w:rsidRPr="005D07F2">
        <w:rPr>
          <w:rStyle w:val="af5"/>
          <w:rFonts w:ascii="David" w:eastAsia="Calibri" w:hAnsi="David" w:hint="cs"/>
          <w:i w:val="0"/>
          <w:iCs w:val="0"/>
          <w:rtl/>
        </w:rPr>
        <w:t>אף הפנה לפסיקה בדבר משקלה של וועדת התסקירים והעו"ס לסדרי דין</w:t>
      </w:r>
      <w:r w:rsidR="00051F4A" w:rsidRPr="005D07F2">
        <w:rPr>
          <w:rStyle w:val="af5"/>
          <w:rFonts w:ascii="David" w:eastAsia="Calibri" w:hAnsi="David" w:hint="cs"/>
          <w:i w:val="0"/>
          <w:iCs w:val="0"/>
          <w:rtl/>
        </w:rPr>
        <w:t>;</w:t>
      </w:r>
      <w:r w:rsidR="00F657CC" w:rsidRPr="005D07F2">
        <w:rPr>
          <w:rStyle w:val="af5"/>
          <w:rFonts w:ascii="David" w:eastAsia="Calibri" w:hAnsi="David" w:hint="cs"/>
          <w:i w:val="0"/>
          <w:iCs w:val="0"/>
          <w:rtl/>
        </w:rPr>
        <w:t xml:space="preserve"> </w:t>
      </w:r>
      <w:r w:rsidR="005D07F2">
        <w:rPr>
          <w:rStyle w:val="af5"/>
          <w:rFonts w:ascii="David" w:eastAsia="Calibri" w:hAnsi="David" w:hint="cs"/>
          <w:i w:val="0"/>
          <w:iCs w:val="0"/>
          <w:rtl/>
        </w:rPr>
        <w:t>ו</w:t>
      </w:r>
      <w:r w:rsidR="00F657CC" w:rsidRPr="005D07F2">
        <w:rPr>
          <w:rStyle w:val="af5"/>
          <w:rFonts w:ascii="David" w:eastAsia="Calibri" w:hAnsi="David" w:hint="cs"/>
          <w:i w:val="0"/>
          <w:iCs w:val="0"/>
          <w:rtl/>
        </w:rPr>
        <w:t xml:space="preserve">באשר לטענות המבקש ולפיה לא נשמעו הקטינים עובר לגיבוש המלצות הוועדה, דחה בימ"ש קמא את טענה זו שכן בהתאם להצהרת העו"ס המחוזית, </w:t>
      </w:r>
      <w:r w:rsidR="00F657CC" w:rsidRPr="005D07F2">
        <w:rPr>
          <w:rStyle w:val="af5"/>
          <w:rFonts w:ascii="David" w:eastAsia="Calibri" w:hAnsi="David" w:hint="cs"/>
          <w:b/>
          <w:bCs/>
          <w:i w:val="0"/>
          <w:iCs w:val="0"/>
          <w:rtl/>
        </w:rPr>
        <w:t xml:space="preserve">המבקש לא שיתף פעולה עם גורמי הטיפול </w:t>
      </w:r>
      <w:r w:rsidR="00F657CC" w:rsidRPr="00EF7F21">
        <w:rPr>
          <w:rStyle w:val="af5"/>
          <w:rFonts w:ascii="David" w:eastAsia="Calibri" w:hAnsi="David" w:hint="cs"/>
          <w:b/>
          <w:bCs/>
          <w:i w:val="0"/>
          <w:iCs w:val="0"/>
          <w:u w:val="single"/>
          <w:rtl/>
        </w:rPr>
        <w:t>וסרב שהקטינות יישמעו</w:t>
      </w:r>
      <w:r w:rsidR="00F657CC" w:rsidRPr="005D07F2">
        <w:rPr>
          <w:rStyle w:val="af5"/>
          <w:rFonts w:ascii="David" w:eastAsia="Calibri" w:hAnsi="David" w:hint="cs"/>
          <w:b/>
          <w:bCs/>
          <w:i w:val="0"/>
          <w:iCs w:val="0"/>
          <w:rtl/>
        </w:rPr>
        <w:t xml:space="preserve"> על אף שהוצע לו לעשות כן</w:t>
      </w:r>
      <w:r w:rsidR="00F657CC" w:rsidRPr="005D07F2">
        <w:rPr>
          <w:rStyle w:val="af5"/>
          <w:rFonts w:ascii="David" w:eastAsia="Calibri" w:hAnsi="David" w:hint="cs"/>
          <w:i w:val="0"/>
          <w:iCs w:val="0"/>
          <w:rtl/>
        </w:rPr>
        <w:t xml:space="preserve"> (ראה פירוט של בימ"ש קמא בעניין זה בסע' 28 להחלטה).</w:t>
      </w:r>
    </w:p>
    <w:p w:rsidR="00F657CC" w:rsidRDefault="00F657CC" w:rsidP="00F657CC">
      <w:pPr>
        <w:spacing w:line="360" w:lineRule="auto"/>
        <w:ind w:left="720"/>
        <w:jc w:val="both"/>
        <w:rPr>
          <w:rStyle w:val="af5"/>
          <w:rFonts w:ascii="David" w:eastAsia="Calibri" w:hAnsi="David"/>
          <w:i w:val="0"/>
          <w:iCs w:val="0"/>
          <w:rtl/>
        </w:rPr>
      </w:pPr>
    </w:p>
    <w:p w:rsidR="00F657CC" w:rsidRDefault="00F657CC" w:rsidP="00815946">
      <w:pPr>
        <w:pStyle w:val="affffc"/>
        <w:numPr>
          <w:ilvl w:val="0"/>
          <w:numId w:val="11"/>
        </w:numPr>
        <w:spacing w:line="360" w:lineRule="auto"/>
        <w:jc w:val="both"/>
        <w:rPr>
          <w:rStyle w:val="af5"/>
          <w:rFonts w:ascii="David" w:eastAsia="Calibri" w:hAnsi="David"/>
          <w:i w:val="0"/>
          <w:iCs w:val="0"/>
        </w:rPr>
      </w:pPr>
      <w:r>
        <w:rPr>
          <w:rStyle w:val="af5"/>
          <w:rFonts w:ascii="David" w:eastAsia="Calibri" w:hAnsi="David" w:hint="cs"/>
          <w:i w:val="0"/>
          <w:iCs w:val="0"/>
          <w:rtl/>
        </w:rPr>
        <w:t>החלטתו של בימ"ש קמא נושא</w:t>
      </w:r>
      <w:r w:rsidR="00051F4A">
        <w:rPr>
          <w:rStyle w:val="af5"/>
          <w:rFonts w:ascii="David" w:eastAsia="Calibri" w:hAnsi="David" w:hint="cs"/>
          <w:i w:val="0"/>
          <w:iCs w:val="0"/>
          <w:rtl/>
        </w:rPr>
        <w:t>ת</w:t>
      </w:r>
      <w:r>
        <w:rPr>
          <w:rStyle w:val="af5"/>
          <w:rFonts w:ascii="David" w:eastAsia="Calibri" w:hAnsi="David" w:hint="cs"/>
          <w:i w:val="0"/>
          <w:iCs w:val="0"/>
          <w:rtl/>
        </w:rPr>
        <w:t xml:space="preserve"> 12 עמודים, 33 סעיפים, כש</w:t>
      </w:r>
      <w:r w:rsidR="00EF7F21">
        <w:rPr>
          <w:rStyle w:val="af5"/>
          <w:rFonts w:ascii="David" w:eastAsia="Calibri" w:hAnsi="David" w:hint="cs"/>
          <w:i w:val="0"/>
          <w:iCs w:val="0"/>
          <w:rtl/>
        </w:rPr>
        <w:t>פ</w:t>
      </w:r>
      <w:r>
        <w:rPr>
          <w:rStyle w:val="af5"/>
          <w:rFonts w:ascii="David" w:eastAsia="Calibri" w:hAnsi="David" w:hint="cs"/>
          <w:i w:val="0"/>
          <w:iCs w:val="0"/>
          <w:rtl/>
        </w:rPr>
        <w:t xml:space="preserve">רק ה"דיון וההכרעה" </w:t>
      </w:r>
      <w:r w:rsidR="00EF7F21">
        <w:rPr>
          <w:rStyle w:val="af5"/>
          <w:rFonts w:ascii="David" w:eastAsia="Calibri" w:hAnsi="David" w:hint="cs"/>
          <w:i w:val="0"/>
          <w:iCs w:val="0"/>
          <w:rtl/>
        </w:rPr>
        <w:t xml:space="preserve">לבדו </w:t>
      </w:r>
      <w:r>
        <w:rPr>
          <w:rStyle w:val="af5"/>
          <w:rFonts w:ascii="David" w:eastAsia="Calibri" w:hAnsi="David" w:hint="cs"/>
          <w:i w:val="0"/>
          <w:iCs w:val="0"/>
          <w:rtl/>
        </w:rPr>
        <w:t>נושא 7 עמודים</w:t>
      </w:r>
      <w:r w:rsidR="00051F4A">
        <w:rPr>
          <w:rStyle w:val="af5"/>
          <w:rFonts w:ascii="David" w:eastAsia="Calibri" w:hAnsi="David" w:hint="cs"/>
          <w:i w:val="0"/>
          <w:iCs w:val="0"/>
          <w:rtl/>
        </w:rPr>
        <w:t>;</w:t>
      </w:r>
      <w:r>
        <w:rPr>
          <w:rStyle w:val="af5"/>
          <w:rFonts w:ascii="David" w:eastAsia="Calibri" w:hAnsi="David" w:hint="cs"/>
          <w:i w:val="0"/>
          <w:iCs w:val="0"/>
          <w:rtl/>
        </w:rPr>
        <w:t xml:space="preserve"> נימוקי בימ"ש קמא מפורטים </w:t>
      </w:r>
      <w:r w:rsidR="00051F4A">
        <w:rPr>
          <w:rStyle w:val="af5"/>
          <w:rFonts w:ascii="David" w:eastAsia="Calibri" w:hAnsi="David" w:hint="cs"/>
          <w:i w:val="0"/>
          <w:iCs w:val="0"/>
          <w:rtl/>
        </w:rPr>
        <w:t>באופן מפורט ביותר,</w:t>
      </w:r>
      <w:r w:rsidR="00EF7F21">
        <w:rPr>
          <w:rStyle w:val="af5"/>
          <w:rFonts w:ascii="David" w:eastAsia="Calibri" w:hAnsi="David" w:hint="cs"/>
          <w:i w:val="0"/>
          <w:iCs w:val="0"/>
          <w:rtl/>
        </w:rPr>
        <w:t xml:space="preserve"> מנומק כדבעי, תוך התייחסות מפורטת </w:t>
      </w:r>
      <w:r w:rsidR="00051F4A">
        <w:rPr>
          <w:rStyle w:val="af5"/>
          <w:rFonts w:ascii="David" w:eastAsia="Calibri" w:hAnsi="David" w:hint="cs"/>
          <w:i w:val="0"/>
          <w:iCs w:val="0"/>
          <w:rtl/>
        </w:rPr>
        <w:t xml:space="preserve">למכלול הנתונים, </w:t>
      </w:r>
      <w:r w:rsidRPr="00051F4A">
        <w:rPr>
          <w:rStyle w:val="af5"/>
          <w:rFonts w:ascii="David" w:eastAsia="Calibri" w:hAnsi="David" w:hint="cs"/>
          <w:b/>
          <w:bCs/>
          <w:i w:val="0"/>
          <w:iCs w:val="0"/>
          <w:rtl/>
        </w:rPr>
        <w:t>כאשר בסופו של דבר מדובר באימוץ החלטת וועדת התסקירי</w:t>
      </w:r>
      <w:r w:rsidR="00815946">
        <w:rPr>
          <w:rStyle w:val="af5"/>
          <w:rFonts w:ascii="David" w:eastAsia="Calibri" w:hAnsi="David" w:hint="cs"/>
          <w:b/>
          <w:bCs/>
          <w:i w:val="0"/>
          <w:iCs w:val="0"/>
          <w:rtl/>
        </w:rPr>
        <w:t xml:space="preserve">ם, </w:t>
      </w:r>
      <w:r w:rsidR="00051F4A" w:rsidRPr="00EF7F21">
        <w:rPr>
          <w:rStyle w:val="af5"/>
          <w:rFonts w:ascii="David" w:eastAsia="Calibri" w:hAnsi="David" w:hint="cs"/>
          <w:i w:val="0"/>
          <w:iCs w:val="0"/>
          <w:u w:val="single"/>
          <w:rtl/>
        </w:rPr>
        <w:t>הכל מתוך</w:t>
      </w:r>
      <w:r w:rsidR="00815946">
        <w:rPr>
          <w:rStyle w:val="af5"/>
          <w:rFonts w:ascii="David" w:eastAsia="Calibri" w:hAnsi="David" w:hint="cs"/>
          <w:i w:val="0"/>
          <w:iCs w:val="0"/>
          <w:u w:val="single"/>
          <w:rtl/>
        </w:rPr>
        <w:t xml:space="preserve"> ראיית טובת הקטינים שעמדה לנגד כ</w:t>
      </w:r>
      <w:r w:rsidRPr="00EF7F21">
        <w:rPr>
          <w:rStyle w:val="af5"/>
          <w:rFonts w:ascii="David" w:eastAsia="Calibri" w:hAnsi="David" w:hint="cs"/>
          <w:i w:val="0"/>
          <w:iCs w:val="0"/>
          <w:u w:val="single"/>
          <w:rtl/>
        </w:rPr>
        <w:t>ולם</w:t>
      </w:r>
      <w:r>
        <w:rPr>
          <w:rStyle w:val="af5"/>
          <w:rFonts w:ascii="David" w:eastAsia="Calibri" w:hAnsi="David" w:hint="cs"/>
          <w:i w:val="0"/>
          <w:iCs w:val="0"/>
          <w:rtl/>
        </w:rPr>
        <w:t xml:space="preserve"> </w:t>
      </w:r>
      <w:r>
        <w:rPr>
          <w:rStyle w:val="af5"/>
          <w:rFonts w:ascii="David" w:eastAsia="Calibri" w:hAnsi="David"/>
          <w:i w:val="0"/>
          <w:iCs w:val="0"/>
          <w:rtl/>
        </w:rPr>
        <w:t>–</w:t>
      </w:r>
      <w:r>
        <w:rPr>
          <w:rStyle w:val="af5"/>
          <w:rFonts w:ascii="David" w:eastAsia="Calibri" w:hAnsi="David" w:hint="cs"/>
          <w:i w:val="0"/>
          <w:iCs w:val="0"/>
          <w:rtl/>
        </w:rPr>
        <w:t xml:space="preserve"> לעיני וועדת התסקירים, לעיני האפוטרופוס לדין, לעיני העו"ס לסדרי דין, ובסופו של דבר גם לנגד עיני ביהמ"ש. </w:t>
      </w:r>
    </w:p>
    <w:p w:rsidR="00F657CC" w:rsidRDefault="00F657CC" w:rsidP="00F657CC">
      <w:pPr>
        <w:spacing w:line="360" w:lineRule="auto"/>
        <w:ind w:left="360"/>
        <w:jc w:val="both"/>
        <w:rPr>
          <w:rStyle w:val="af5"/>
          <w:rFonts w:ascii="David" w:eastAsia="Calibri" w:hAnsi="David"/>
          <w:i w:val="0"/>
          <w:iCs w:val="0"/>
          <w:rtl/>
        </w:rPr>
      </w:pPr>
    </w:p>
    <w:p w:rsidR="00F657CC" w:rsidRDefault="00F657CC" w:rsidP="00EF7F21">
      <w:pPr>
        <w:pStyle w:val="affffc"/>
        <w:numPr>
          <w:ilvl w:val="0"/>
          <w:numId w:val="11"/>
        </w:numPr>
        <w:spacing w:line="360" w:lineRule="auto"/>
        <w:jc w:val="both"/>
        <w:rPr>
          <w:rStyle w:val="af5"/>
          <w:rFonts w:ascii="David" w:eastAsia="Calibri" w:hAnsi="David"/>
          <w:i w:val="0"/>
          <w:iCs w:val="0"/>
        </w:rPr>
      </w:pPr>
      <w:r>
        <w:rPr>
          <w:rStyle w:val="af5"/>
          <w:rFonts w:ascii="David" w:eastAsia="Calibri" w:hAnsi="David" w:hint="cs"/>
          <w:i w:val="0"/>
          <w:iCs w:val="0"/>
          <w:rtl/>
        </w:rPr>
        <w:t xml:space="preserve">המבקש בערעורו חוזר למעשה על כל טענותיו כפי שטען בבימ"ש קמא, טענות </w:t>
      </w:r>
      <w:r w:rsidR="00EF7F21">
        <w:rPr>
          <w:rStyle w:val="af5"/>
          <w:rFonts w:ascii="David" w:eastAsia="Calibri" w:hAnsi="David" w:hint="cs"/>
          <w:i w:val="0"/>
          <w:iCs w:val="0"/>
          <w:rtl/>
        </w:rPr>
        <w:t xml:space="preserve">בהם דן בימ"ש קמא </w:t>
      </w:r>
      <w:r>
        <w:rPr>
          <w:rStyle w:val="af5"/>
          <w:rFonts w:ascii="David" w:eastAsia="Calibri" w:hAnsi="David" w:hint="cs"/>
          <w:i w:val="0"/>
          <w:iCs w:val="0"/>
          <w:rtl/>
        </w:rPr>
        <w:t>והכריע בעניינם,</w:t>
      </w:r>
      <w:r w:rsidR="00EF7F21">
        <w:rPr>
          <w:rStyle w:val="af5"/>
          <w:rFonts w:ascii="David" w:eastAsia="Calibri" w:hAnsi="David" w:hint="cs"/>
          <w:i w:val="0"/>
          <w:iCs w:val="0"/>
          <w:rtl/>
        </w:rPr>
        <w:t xml:space="preserve"> כשהמבקש</w:t>
      </w:r>
      <w:r>
        <w:rPr>
          <w:rStyle w:val="af5"/>
          <w:rFonts w:ascii="David" w:eastAsia="Calibri" w:hAnsi="David" w:hint="cs"/>
          <w:i w:val="0"/>
          <w:iCs w:val="0"/>
          <w:rtl/>
        </w:rPr>
        <w:t xml:space="preserve"> איננו מצביע על כל טעות בהחלטה, איננו מסביר במה שג</w:t>
      </w:r>
      <w:r w:rsidR="00051F4A">
        <w:rPr>
          <w:rStyle w:val="af5"/>
          <w:rFonts w:ascii="David" w:eastAsia="Calibri" w:hAnsi="David" w:hint="cs"/>
          <w:i w:val="0"/>
          <w:iCs w:val="0"/>
          <w:rtl/>
        </w:rPr>
        <w:t>ה</w:t>
      </w:r>
      <w:r>
        <w:rPr>
          <w:rStyle w:val="af5"/>
          <w:rFonts w:ascii="David" w:eastAsia="Calibri" w:hAnsi="David" w:hint="cs"/>
          <w:i w:val="0"/>
          <w:iCs w:val="0"/>
          <w:rtl/>
        </w:rPr>
        <w:t xml:space="preserve"> בימ"ש קמא במסקנותיו, למעט טענה אחת והיא</w:t>
      </w:r>
      <w:r w:rsidR="00051F4A">
        <w:rPr>
          <w:rStyle w:val="af5"/>
          <w:rFonts w:ascii="David" w:eastAsia="Calibri" w:hAnsi="David" w:hint="cs"/>
          <w:i w:val="0"/>
          <w:iCs w:val="0"/>
          <w:rtl/>
        </w:rPr>
        <w:t>-</w:t>
      </w:r>
      <w:r>
        <w:rPr>
          <w:rStyle w:val="af5"/>
          <w:rFonts w:ascii="David" w:eastAsia="Calibri" w:hAnsi="David" w:hint="cs"/>
          <w:i w:val="0"/>
          <w:iCs w:val="0"/>
          <w:rtl/>
        </w:rPr>
        <w:t xml:space="preserve"> שההחלטה מושא הערעור </w:t>
      </w:r>
      <w:r w:rsidR="00915A03">
        <w:rPr>
          <w:rStyle w:val="af5"/>
          <w:rFonts w:ascii="David" w:eastAsia="Calibri" w:hAnsi="David" w:hint="cs"/>
          <w:i w:val="0"/>
          <w:iCs w:val="0"/>
          <w:rtl/>
        </w:rPr>
        <w:t>מנוגדת לפס</w:t>
      </w:r>
      <w:r w:rsidR="00EF7F21">
        <w:rPr>
          <w:rStyle w:val="af5"/>
          <w:rFonts w:ascii="David" w:eastAsia="Calibri" w:hAnsi="David" w:hint="cs"/>
          <w:i w:val="0"/>
          <w:iCs w:val="0"/>
          <w:rtl/>
        </w:rPr>
        <w:t>ה"ד הערעורי</w:t>
      </w:r>
      <w:r w:rsidR="00051F4A">
        <w:rPr>
          <w:rStyle w:val="af5"/>
          <w:rFonts w:ascii="David" w:eastAsia="Calibri" w:hAnsi="David" w:hint="cs"/>
          <w:i w:val="0"/>
          <w:iCs w:val="0"/>
          <w:rtl/>
        </w:rPr>
        <w:t>;</w:t>
      </w:r>
      <w:r w:rsidR="00915A03">
        <w:rPr>
          <w:rStyle w:val="af5"/>
          <w:rFonts w:ascii="David" w:eastAsia="Calibri" w:hAnsi="David" w:hint="cs"/>
          <w:i w:val="0"/>
          <w:iCs w:val="0"/>
          <w:rtl/>
        </w:rPr>
        <w:t xml:space="preserve"> ולא היא כפי שהראנו לעיל, </w:t>
      </w:r>
      <w:r w:rsidR="00EF7F21">
        <w:rPr>
          <w:rStyle w:val="af5"/>
          <w:rFonts w:ascii="David" w:eastAsia="Calibri" w:hAnsi="David" w:hint="cs"/>
          <w:i w:val="0"/>
          <w:iCs w:val="0"/>
          <w:rtl/>
        </w:rPr>
        <w:t xml:space="preserve">פסה"ד הערעורי </w:t>
      </w:r>
      <w:r w:rsidR="00915A03">
        <w:rPr>
          <w:rStyle w:val="af5"/>
          <w:rFonts w:ascii="David" w:eastAsia="Calibri" w:hAnsi="David" w:hint="cs"/>
          <w:i w:val="0"/>
          <w:iCs w:val="0"/>
          <w:rtl/>
        </w:rPr>
        <w:t xml:space="preserve">לא קבע כלל כי אין לערוך אבחון לקטינים, אלא </w:t>
      </w:r>
      <w:r w:rsidR="00EF7F21">
        <w:rPr>
          <w:rStyle w:val="af5"/>
          <w:rFonts w:ascii="David" w:eastAsia="Calibri" w:hAnsi="David" w:hint="cs"/>
          <w:i w:val="0"/>
          <w:iCs w:val="0"/>
          <w:rtl/>
        </w:rPr>
        <w:t>שהחלטה מעין זו צריכה להינ</w:t>
      </w:r>
      <w:r w:rsidR="00915A03">
        <w:rPr>
          <w:rStyle w:val="af5"/>
          <w:rFonts w:ascii="David" w:eastAsia="Calibri" w:hAnsi="David" w:hint="cs"/>
          <w:i w:val="0"/>
          <w:iCs w:val="0"/>
          <w:rtl/>
        </w:rPr>
        <w:t xml:space="preserve">תן לאחר תכלול של כל הגורמים המקצועיים </w:t>
      </w:r>
      <w:r w:rsidR="00915A03">
        <w:rPr>
          <w:rStyle w:val="af5"/>
          <w:rFonts w:ascii="David" w:eastAsia="Calibri" w:hAnsi="David"/>
          <w:i w:val="0"/>
          <w:iCs w:val="0"/>
          <w:rtl/>
        </w:rPr>
        <w:t>–</w:t>
      </w:r>
      <w:r w:rsidR="00915A03">
        <w:rPr>
          <w:rStyle w:val="af5"/>
          <w:rFonts w:ascii="David" w:eastAsia="Calibri" w:hAnsi="David" w:hint="cs"/>
          <w:i w:val="0"/>
          <w:iCs w:val="0"/>
          <w:rtl/>
        </w:rPr>
        <w:t xml:space="preserve"> </w:t>
      </w:r>
      <w:r w:rsidR="00915A03" w:rsidRPr="00051F4A">
        <w:rPr>
          <w:rStyle w:val="af5"/>
          <w:rFonts w:ascii="David" w:eastAsia="Calibri" w:hAnsi="David" w:hint="cs"/>
          <w:b/>
          <w:bCs/>
          <w:i w:val="0"/>
          <w:iCs w:val="0"/>
          <w:rtl/>
        </w:rPr>
        <w:t>וכך נעשה</w:t>
      </w:r>
      <w:r w:rsidR="00915A03">
        <w:rPr>
          <w:rStyle w:val="af5"/>
          <w:rFonts w:ascii="David" w:eastAsia="Calibri" w:hAnsi="David" w:hint="cs"/>
          <w:i w:val="0"/>
          <w:iCs w:val="0"/>
          <w:rtl/>
        </w:rPr>
        <w:t xml:space="preserve">. כל הגורמים המקצועיים </w:t>
      </w:r>
      <w:r w:rsidR="00051F4A">
        <w:rPr>
          <w:rStyle w:val="af5"/>
          <w:rFonts w:ascii="David" w:eastAsia="Calibri" w:hAnsi="David" w:hint="cs"/>
          <w:i w:val="0"/>
          <w:iCs w:val="0"/>
          <w:rtl/>
        </w:rPr>
        <w:t>-</w:t>
      </w:r>
      <w:r w:rsidR="00915A03">
        <w:rPr>
          <w:rStyle w:val="af5"/>
          <w:rFonts w:ascii="David" w:eastAsia="Calibri" w:hAnsi="David" w:hint="cs"/>
          <w:i w:val="0"/>
          <w:iCs w:val="0"/>
          <w:rtl/>
        </w:rPr>
        <w:t xml:space="preserve"> בדגש על </w:t>
      </w:r>
      <w:r w:rsidR="00915A03" w:rsidRPr="00051F4A">
        <w:rPr>
          <w:rStyle w:val="af5"/>
          <w:rFonts w:ascii="David" w:eastAsia="Calibri" w:hAnsi="David" w:hint="cs"/>
          <w:i w:val="0"/>
          <w:iCs w:val="0"/>
          <w:u w:val="single"/>
          <w:rtl/>
        </w:rPr>
        <w:t>כל</w:t>
      </w:r>
      <w:r w:rsidR="00051F4A">
        <w:rPr>
          <w:rStyle w:val="af5"/>
          <w:rFonts w:ascii="David" w:eastAsia="Calibri" w:hAnsi="David" w:hint="cs"/>
          <w:i w:val="0"/>
          <w:iCs w:val="0"/>
          <w:rtl/>
        </w:rPr>
        <w:t xml:space="preserve"> </w:t>
      </w:r>
      <w:r w:rsidR="00051F4A">
        <w:rPr>
          <w:rStyle w:val="af5"/>
          <w:rFonts w:ascii="David" w:eastAsia="Calibri" w:hAnsi="David"/>
          <w:i w:val="0"/>
          <w:iCs w:val="0"/>
          <w:rtl/>
        </w:rPr>
        <w:t>–</w:t>
      </w:r>
      <w:r w:rsidR="00051F4A">
        <w:rPr>
          <w:rStyle w:val="af5"/>
          <w:rFonts w:ascii="David" w:eastAsia="Calibri" w:hAnsi="David" w:hint="cs"/>
          <w:i w:val="0"/>
          <w:iCs w:val="0"/>
          <w:rtl/>
        </w:rPr>
        <w:t xml:space="preserve"> המליצו </w:t>
      </w:r>
      <w:r w:rsidR="00915A03">
        <w:rPr>
          <w:rStyle w:val="af5"/>
          <w:rFonts w:ascii="David" w:eastAsia="Calibri" w:hAnsi="David" w:hint="cs"/>
          <w:i w:val="0"/>
          <w:iCs w:val="0"/>
          <w:rtl/>
        </w:rPr>
        <w:t xml:space="preserve">לנוכח נסיבות הקטינים ומצבם הרגשי, על עריכת אבחון, הכל כפי שפירט בימ"ש קמא בהחלטתו, </w:t>
      </w:r>
      <w:r w:rsidR="00915A03" w:rsidRPr="00051F4A">
        <w:rPr>
          <w:rStyle w:val="af5"/>
          <w:rFonts w:ascii="David" w:eastAsia="Calibri" w:hAnsi="David" w:hint="cs"/>
          <w:b/>
          <w:bCs/>
          <w:i w:val="0"/>
          <w:iCs w:val="0"/>
          <w:u w:val="single"/>
          <w:rtl/>
        </w:rPr>
        <w:t>ועל כן בצדק אימץ בימ"ש את המלצות כל הגורמים המקצועיים להערכת האבחון</w:t>
      </w:r>
      <w:r w:rsidR="00915A03">
        <w:rPr>
          <w:rStyle w:val="af5"/>
          <w:rFonts w:ascii="David" w:eastAsia="Calibri" w:hAnsi="David" w:hint="cs"/>
          <w:i w:val="0"/>
          <w:iCs w:val="0"/>
          <w:rtl/>
        </w:rPr>
        <w:t xml:space="preserve">. </w:t>
      </w:r>
    </w:p>
    <w:p w:rsidR="00EF7F21" w:rsidRDefault="00D94E76" w:rsidP="00EF7F21">
      <w:pPr>
        <w:pStyle w:val="affffc"/>
        <w:rPr>
          <w:rStyle w:val="af5"/>
          <w:rFonts w:ascii="David" w:eastAsia="Calibri" w:hAnsi="David"/>
          <w:i w:val="0"/>
          <w:iCs w:val="0"/>
          <w:rtl/>
        </w:rPr>
      </w:pPr>
      <w:r>
        <w:rPr>
          <w:rStyle w:val="af5"/>
          <w:rFonts w:ascii="David" w:eastAsia="Calibri" w:hAnsi="David" w:hint="cs"/>
          <w:i w:val="0"/>
          <w:iCs w:val="0"/>
          <w:rtl/>
        </w:rPr>
        <w:t>לא מצאתי כי נפלה שגגה בשיקול דעתו של בימ"ש קמא.</w:t>
      </w:r>
    </w:p>
    <w:p w:rsidR="00D94E76" w:rsidRDefault="00D94E76" w:rsidP="00B92787">
      <w:pPr>
        <w:pStyle w:val="affffc"/>
        <w:spacing w:line="360" w:lineRule="auto"/>
        <w:rPr>
          <w:rStyle w:val="af5"/>
          <w:rFonts w:ascii="David" w:eastAsia="Calibri" w:hAnsi="David"/>
          <w:i w:val="0"/>
          <w:iCs w:val="0"/>
          <w:rtl/>
        </w:rPr>
      </w:pPr>
    </w:p>
    <w:p w:rsidR="00D94E76" w:rsidRDefault="00D94E76" w:rsidP="00F35D70">
      <w:pPr>
        <w:pStyle w:val="affffc"/>
        <w:numPr>
          <w:ilvl w:val="0"/>
          <w:numId w:val="11"/>
        </w:numPr>
        <w:spacing w:line="360" w:lineRule="auto"/>
        <w:jc w:val="both"/>
        <w:rPr>
          <w:rStyle w:val="af5"/>
          <w:rFonts w:ascii="David" w:eastAsia="Calibri" w:hAnsi="David"/>
          <w:i w:val="0"/>
          <w:iCs w:val="0"/>
        </w:rPr>
      </w:pPr>
      <w:r>
        <w:rPr>
          <w:rStyle w:val="af5"/>
          <w:rFonts w:ascii="David" w:eastAsia="Calibri" w:hAnsi="David" w:hint="cs"/>
          <w:i w:val="0"/>
          <w:iCs w:val="0"/>
          <w:rtl/>
        </w:rPr>
        <w:t xml:space="preserve">יתירה מזו: העובדה שהמבקש לא פנה בערעורו זה בסמוך למתן ההחלטה אלא רק בחלוף 47 ימים, ממש ערב מועד ביצוע האבחון (כפי שפירטתי בסעיפים 1-2 לעיל) תוך שהגיש </w:t>
      </w:r>
      <w:r w:rsidR="00F35D70">
        <w:rPr>
          <w:rStyle w:val="af5"/>
          <w:rFonts w:ascii="David" w:eastAsia="Calibri" w:hAnsi="David" w:hint="cs"/>
          <w:i w:val="0"/>
          <w:iCs w:val="0"/>
          <w:rtl/>
        </w:rPr>
        <w:t xml:space="preserve">במקביל </w:t>
      </w:r>
      <w:r>
        <w:rPr>
          <w:rStyle w:val="af5"/>
          <w:rFonts w:ascii="David" w:eastAsia="Calibri" w:hAnsi="David" w:hint="cs"/>
          <w:i w:val="0"/>
          <w:iCs w:val="0"/>
          <w:rtl/>
        </w:rPr>
        <w:t xml:space="preserve">בקשה לעיכוב ביצוע שלו הייתה מתקבלת משמעותה הייתה ביטול מועד האבחון שנקבע למחרת, </w:t>
      </w:r>
      <w:r w:rsidR="00F35D70" w:rsidRPr="00F35D70">
        <w:rPr>
          <w:rStyle w:val="af5"/>
          <w:rFonts w:ascii="David" w:eastAsia="Calibri" w:hAnsi="David" w:hint="cs"/>
          <w:b/>
          <w:bCs/>
          <w:i w:val="0"/>
          <w:iCs w:val="0"/>
          <w:rtl/>
        </w:rPr>
        <w:t>מחזקת א</w:t>
      </w:r>
      <w:r w:rsidRPr="00F35D70">
        <w:rPr>
          <w:rStyle w:val="af5"/>
          <w:rFonts w:ascii="David" w:eastAsia="Calibri" w:hAnsi="David" w:hint="cs"/>
          <w:b/>
          <w:bCs/>
          <w:i w:val="0"/>
          <w:iCs w:val="0"/>
          <w:rtl/>
        </w:rPr>
        <w:t>ת הרושם</w:t>
      </w:r>
      <w:r w:rsidR="00F35D70" w:rsidRPr="00F35D70">
        <w:rPr>
          <w:rStyle w:val="af5"/>
          <w:rFonts w:ascii="David" w:eastAsia="Calibri" w:hAnsi="David" w:hint="cs"/>
          <w:b/>
          <w:bCs/>
          <w:i w:val="0"/>
          <w:iCs w:val="0"/>
          <w:rtl/>
        </w:rPr>
        <w:t xml:space="preserve"> שהגשת הערעור בוצעה כחלק ממהלך טקטי</w:t>
      </w:r>
      <w:r w:rsidR="00B92787">
        <w:rPr>
          <w:rStyle w:val="af5"/>
          <w:rFonts w:ascii="David" w:eastAsia="Calibri" w:hAnsi="David" w:hint="cs"/>
          <w:b/>
          <w:bCs/>
          <w:i w:val="0"/>
          <w:iCs w:val="0"/>
          <w:rtl/>
        </w:rPr>
        <w:t xml:space="preserve"> שנועד</w:t>
      </w:r>
      <w:r w:rsidR="00F35D70" w:rsidRPr="00F35D70">
        <w:rPr>
          <w:rStyle w:val="af5"/>
          <w:rFonts w:ascii="David" w:eastAsia="Calibri" w:hAnsi="David" w:hint="cs"/>
          <w:b/>
          <w:bCs/>
          <w:i w:val="0"/>
          <w:iCs w:val="0"/>
          <w:rtl/>
        </w:rPr>
        <w:t xml:space="preserve"> לסכל את ביצוע האבחון.</w:t>
      </w:r>
      <w:r w:rsidR="00F35D70">
        <w:rPr>
          <w:rStyle w:val="af5"/>
          <w:rFonts w:ascii="David" w:eastAsia="Calibri" w:hAnsi="David" w:hint="cs"/>
          <w:i w:val="0"/>
          <w:iCs w:val="0"/>
          <w:rtl/>
        </w:rPr>
        <w:t xml:space="preserve"> </w:t>
      </w:r>
      <w:r>
        <w:rPr>
          <w:rStyle w:val="af5"/>
          <w:rFonts w:ascii="David" w:eastAsia="Calibri" w:hAnsi="David" w:hint="cs"/>
          <w:i w:val="0"/>
          <w:iCs w:val="0"/>
          <w:rtl/>
        </w:rPr>
        <w:t xml:space="preserve">  </w:t>
      </w:r>
    </w:p>
    <w:p w:rsidR="00D94E76" w:rsidRDefault="00D94E76" w:rsidP="00EF7F21">
      <w:pPr>
        <w:pStyle w:val="affffc"/>
        <w:rPr>
          <w:rStyle w:val="af5"/>
          <w:rFonts w:ascii="David" w:eastAsia="Calibri" w:hAnsi="David"/>
          <w:i w:val="0"/>
          <w:iCs w:val="0"/>
          <w:rtl/>
        </w:rPr>
      </w:pPr>
    </w:p>
    <w:p w:rsidR="0088140F" w:rsidRPr="00D348E1" w:rsidRDefault="0088140F" w:rsidP="00D348E1">
      <w:pPr>
        <w:spacing w:after="120" w:line="360" w:lineRule="auto"/>
        <w:jc w:val="both"/>
        <w:rPr>
          <w:rFonts w:ascii="David" w:hAnsi="David"/>
          <w:b/>
          <w:bCs/>
          <w:noProof/>
          <w:u w:val="single"/>
        </w:rPr>
      </w:pPr>
      <w:r w:rsidRPr="00D348E1">
        <w:rPr>
          <w:rFonts w:ascii="David" w:hAnsi="David"/>
          <w:b/>
          <w:bCs/>
          <w:noProof/>
          <w:u w:val="single"/>
          <w:rtl/>
        </w:rPr>
        <w:t>סוף דבר</w:t>
      </w:r>
    </w:p>
    <w:p w:rsidR="0088140F" w:rsidRDefault="0088140F" w:rsidP="00D348E1">
      <w:pPr>
        <w:spacing w:after="120" w:line="360" w:lineRule="auto"/>
        <w:jc w:val="both"/>
        <w:rPr>
          <w:rFonts w:ascii="David" w:hAnsi="David"/>
          <w:noProof/>
          <w:rtl/>
        </w:rPr>
      </w:pPr>
      <w:r w:rsidRPr="00136A32">
        <w:rPr>
          <w:rFonts w:ascii="David" w:hAnsi="David" w:hint="cs"/>
          <w:b/>
          <w:bCs/>
          <w:noProof/>
          <w:rtl/>
        </w:rPr>
        <w:t>ל</w:t>
      </w:r>
      <w:r w:rsidRPr="00136A32">
        <w:rPr>
          <w:rFonts w:ascii="David" w:hAnsi="David"/>
          <w:b/>
          <w:bCs/>
          <w:noProof/>
          <w:rtl/>
        </w:rPr>
        <w:t>או</w:t>
      </w:r>
      <w:r w:rsidRPr="00D348E1">
        <w:rPr>
          <w:rFonts w:ascii="David" w:hAnsi="David"/>
          <w:b/>
          <w:bCs/>
          <w:noProof/>
          <w:rtl/>
        </w:rPr>
        <w:t>ר כל האמור לעיל אני מורה על דחיית בקשת רשות הערעור.</w:t>
      </w:r>
    </w:p>
    <w:p w:rsidR="00F35D70" w:rsidRDefault="00F35D70" w:rsidP="00F35D70">
      <w:pPr>
        <w:spacing w:after="120" w:line="360" w:lineRule="auto"/>
        <w:jc w:val="both"/>
        <w:rPr>
          <w:rFonts w:ascii="David" w:eastAsia="Calibri" w:hAnsi="David"/>
          <w:noProof/>
        </w:rPr>
      </w:pPr>
      <w:r>
        <w:rPr>
          <w:rFonts w:ascii="David" w:eastAsia="Calibri" w:hAnsi="David"/>
          <w:noProof/>
          <w:rtl/>
        </w:rPr>
        <w:t>משלא נדרשה תשובה, אין צו להוצאות לטובת המשיבה והעירבון ככל שהופקד יוחזר למפקיד באמצעות ב"כ.</w:t>
      </w:r>
    </w:p>
    <w:p w:rsidR="00F35D70" w:rsidRPr="00F35D70" w:rsidRDefault="00F35D70" w:rsidP="00D348E1">
      <w:pPr>
        <w:spacing w:after="120" w:line="360" w:lineRule="auto"/>
        <w:jc w:val="both"/>
        <w:rPr>
          <w:rFonts w:ascii="David" w:hAnsi="David"/>
          <w:noProof/>
          <w:rtl/>
        </w:rPr>
      </w:pPr>
    </w:p>
    <w:p w:rsidR="005C0610" w:rsidRDefault="005C0610" w:rsidP="00AF105B">
      <w:pPr>
        <w:spacing w:line="360" w:lineRule="auto"/>
        <w:jc w:val="both"/>
        <w:rPr>
          <w:rFonts w:ascii="David" w:eastAsia="Calibri" w:hAnsi="David"/>
          <w:noProof/>
        </w:rPr>
      </w:pPr>
      <w:r>
        <w:rPr>
          <w:rFonts w:ascii="David" w:eastAsia="Calibri" w:hAnsi="David"/>
          <w:noProof/>
          <w:u w:val="single"/>
          <w:rtl/>
        </w:rPr>
        <w:t>חיוב המבקש בהוצאות לטובת המדינה</w:t>
      </w:r>
      <w:r>
        <w:rPr>
          <w:rFonts w:ascii="David" w:eastAsia="Calibri" w:hAnsi="David"/>
          <w:noProof/>
          <w:rtl/>
        </w:rPr>
        <w:t>: בשל</w:t>
      </w:r>
      <w:r w:rsidR="00AF105B">
        <w:rPr>
          <w:rFonts w:ascii="David" w:eastAsia="Calibri" w:hAnsi="David" w:hint="cs"/>
          <w:noProof/>
          <w:rtl/>
        </w:rPr>
        <w:t xml:space="preserve"> השתהותו </w:t>
      </w:r>
      <w:r>
        <w:rPr>
          <w:rFonts w:ascii="David" w:eastAsia="Calibri" w:hAnsi="David" w:hint="cs"/>
          <w:noProof/>
          <w:rtl/>
        </w:rPr>
        <w:t xml:space="preserve">של המבקש בהגשת בקשת רשות ערעור זו </w:t>
      </w:r>
      <w:r w:rsidR="00AF105B">
        <w:rPr>
          <w:rFonts w:ascii="David" w:eastAsia="Calibri" w:hAnsi="David" w:hint="cs"/>
          <w:noProof/>
          <w:rtl/>
        </w:rPr>
        <w:t>עד ל</w:t>
      </w:r>
      <w:r>
        <w:rPr>
          <w:rFonts w:ascii="David" w:eastAsia="Calibri" w:hAnsi="David" w:hint="cs"/>
          <w:noProof/>
          <w:rtl/>
        </w:rPr>
        <w:t>ערב המועד שנועד לביצוע ההחלטה</w:t>
      </w:r>
      <w:r w:rsidR="00AF105B">
        <w:rPr>
          <w:rFonts w:ascii="David" w:eastAsia="Calibri" w:hAnsi="David" w:hint="cs"/>
          <w:noProof/>
          <w:rtl/>
        </w:rPr>
        <w:t xml:space="preserve"> ובזיקה לסעיף 17 לעיל, </w:t>
      </w:r>
      <w:r>
        <w:rPr>
          <w:rFonts w:ascii="David" w:eastAsia="Calibri" w:hAnsi="David"/>
          <w:noProof/>
          <w:rtl/>
        </w:rPr>
        <w:t xml:space="preserve">רואה אני לנכון לחייב את המבקש בהוצאות לטובת אוצר המדינה בסך 1,000 ₪; </w:t>
      </w:r>
      <w:r>
        <w:rPr>
          <w:rFonts w:ascii="David" w:eastAsia="Calibri" w:hAnsi="David"/>
          <w:b/>
          <w:bCs/>
          <w:noProof/>
          <w:u w:val="single"/>
          <w:rtl/>
        </w:rPr>
        <w:t>ברם</w:t>
      </w:r>
      <w:r>
        <w:rPr>
          <w:rFonts w:ascii="David" w:eastAsia="Calibri" w:hAnsi="David"/>
          <w:noProof/>
          <w:rtl/>
        </w:rPr>
        <w:t xml:space="preserve">: על מנת לתמרץ את המבקש לשתף פעולה בכל הקשור לקטינים, אני מורה כי חיוב זה ייכנס לתוקפו רק ביום 1.1.24, כאשר בד בבד אני מסמיך את </w:t>
      </w:r>
      <w:r>
        <w:rPr>
          <w:rFonts w:ascii="David" w:eastAsia="Calibri" w:hAnsi="David"/>
          <w:noProof/>
          <w:u w:val="single"/>
          <w:rtl/>
        </w:rPr>
        <w:t>בימ"ש קמא</w:t>
      </w:r>
      <w:r>
        <w:rPr>
          <w:rFonts w:ascii="David" w:eastAsia="Calibri" w:hAnsi="David"/>
          <w:noProof/>
          <w:rtl/>
        </w:rPr>
        <w:t xml:space="preserve"> להורות על ביטול חיוב זה ככל שהמבקש ישתף פעולה בכל הקשור לקטינים, עריכת האיבחון, לרבות התייצבותו לכל מה שיידרש בעניין הקטינים. לשם כך יהיה גם מוסמך בימ"ש קמא לדחות ולהאריך את מועד כניסת החיוב לתוקף (1.1.24) מפעם לפעם, הכל בהתאם לשיקולי ביהמ"ש. </w:t>
      </w:r>
    </w:p>
    <w:p w:rsidR="005C0610" w:rsidRDefault="005C0610" w:rsidP="005C0610">
      <w:pPr>
        <w:spacing w:line="360" w:lineRule="auto"/>
        <w:jc w:val="both"/>
        <w:rPr>
          <w:rFonts w:ascii="David" w:eastAsia="Calibri" w:hAnsi="David"/>
          <w:b/>
          <w:bCs/>
          <w:noProof/>
          <w:rtl/>
        </w:rPr>
      </w:pPr>
      <w:r>
        <w:rPr>
          <w:rFonts w:ascii="David" w:eastAsia="Calibri" w:hAnsi="David"/>
          <w:noProof/>
          <w:rtl/>
        </w:rPr>
        <w:t xml:space="preserve">למען הסר ספק: אין בהסמכתו זו של בימ"ש קמא משום </w:t>
      </w:r>
      <w:r>
        <w:rPr>
          <w:rFonts w:ascii="David" w:eastAsia="Calibri" w:hAnsi="David"/>
          <w:b/>
          <w:bCs/>
          <w:noProof/>
          <w:rtl/>
        </w:rPr>
        <w:t>חיוב</w:t>
      </w:r>
      <w:r>
        <w:rPr>
          <w:rFonts w:ascii="David" w:eastAsia="Calibri" w:hAnsi="David"/>
          <w:noProof/>
          <w:rtl/>
        </w:rPr>
        <w:t xml:space="preserve"> לבטל את חיוב ההוצאות ככל שהמבקש ישתף פעולה כאמור, אלא רק הסמכה, כאשר בימ"ש קמא יעשה שימוש בסמכותו זו </w:t>
      </w:r>
      <w:r>
        <w:rPr>
          <w:rFonts w:ascii="David" w:eastAsia="Calibri" w:hAnsi="David"/>
          <w:b/>
          <w:bCs/>
          <w:noProof/>
          <w:rtl/>
        </w:rPr>
        <w:t>בהתאם לנראה בעיניו ולפי שיקול דעתו, תוך שרשאי להחליט גם שלא לבטל החיוב.</w:t>
      </w:r>
    </w:p>
    <w:p w:rsidR="005C0610" w:rsidRDefault="005C0610" w:rsidP="005C0610">
      <w:pPr>
        <w:spacing w:line="360" w:lineRule="auto"/>
        <w:jc w:val="both"/>
        <w:rPr>
          <w:rFonts w:ascii="David" w:eastAsia="Calibri" w:hAnsi="David"/>
          <w:noProof/>
          <w:rtl/>
        </w:rPr>
      </w:pPr>
    </w:p>
    <w:p w:rsidR="00694556" w:rsidRPr="003F7BBD" w:rsidRDefault="0088140F" w:rsidP="003F7BBD">
      <w:pPr>
        <w:spacing w:after="120" w:line="360" w:lineRule="auto"/>
        <w:jc w:val="both"/>
        <w:rPr>
          <w:rFonts w:ascii="David" w:eastAsia="Calibri" w:hAnsi="David"/>
          <w:noProof/>
          <w:u w:val="single"/>
          <w:rtl/>
        </w:rPr>
      </w:pPr>
      <w:r w:rsidRPr="00361CB1">
        <w:rPr>
          <w:rFonts w:ascii="David" w:eastAsia="Calibri" w:hAnsi="David" w:hint="cs"/>
          <w:noProof/>
          <w:u w:val="single"/>
          <w:rtl/>
        </w:rPr>
        <w:t>פסק דין זה מותר לפרסום בהשמטת שמות הצדדים וכל פרט מזהה אחר.</w:t>
      </w:r>
    </w:p>
    <w:p w:rsidR="00694556" w:rsidRPr="00B95D6E" w:rsidRDefault="00694556">
      <w:pPr>
        <w:spacing w:line="360" w:lineRule="auto"/>
        <w:jc w:val="both"/>
        <w:rPr>
          <w:rFonts w:ascii="Arial" w:hAnsi="Arial"/>
          <w:rtl/>
        </w:rPr>
      </w:pPr>
    </w:p>
    <w:p w:rsidR="00694556" w:rsidRDefault="0043502B">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כ"ב חשוון תשפ"ד</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06 נובמבר 2023</w:t>
          </w:r>
        </w:sdtContent>
      </w:sdt>
      <w:r w:rsidR="00005C8B">
        <w:rPr>
          <w:rFonts w:ascii="Arial" w:hAnsi="Arial"/>
          <w:rtl/>
        </w:rPr>
        <w:t>, בהעדר הצדדים.</w:t>
      </w:r>
    </w:p>
    <w:p w:rsidR="00C43648" w:rsidRDefault="005E41F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85798172"/>
        </w:sdtPr>
        <w:sdtEndPr/>
        <w:sdtContent>
          <w:r w:rsidR="001A0D5F">
            <w:rPr>
              <w:noProof/>
            </w:rPr>
            <w:drawing>
              <wp:inline distT="0" distB="0" distL="0" distR="0" wp14:editId="50D07946">
                <wp:extent cx="108585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6535C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709"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C60" w:rsidRDefault="00B07C6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DF3A50">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DF3A50">
      <w:rPr>
        <w:rStyle w:val="ae"/>
        <w:noProof/>
        <w:rtl/>
      </w:rPr>
      <w:t>6</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C60" w:rsidRDefault="00B07C6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C60" w:rsidRDefault="00B07C6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8D10B2" w:rsidRPr="0088140F" w:rsidRDefault="005E41FB" w:rsidP="0088140F">
          <w:pPr>
            <w:rPr>
              <w:b/>
              <w:bCs/>
              <w:sz w:val="26"/>
              <w:szCs w:val="26"/>
              <w:rtl/>
            </w:rPr>
          </w:pPr>
          <w:sdt>
            <w:sdtPr>
              <w:rPr>
                <w:rtl/>
              </w:rPr>
              <w:alias w:val="1170"/>
              <w:tag w:val="1170"/>
              <w:id w:val="1066377040"/>
              <w:text w:multiLine="1"/>
            </w:sdtPr>
            <w:sdtEndPr/>
            <w:sdtContent>
              <w:r w:rsidR="00AC5857">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AC5857">
                <w:rPr>
                  <w:b/>
                  <w:bCs/>
                  <w:sz w:val="26"/>
                  <w:szCs w:val="26"/>
                  <w:rtl/>
                </w:rPr>
                <w:t>37679-09-23</w:t>
              </w:r>
            </w:sdtContent>
          </w:sdt>
          <w:r w:rsidR="00005C8B">
            <w:rPr>
              <w:b/>
              <w:bCs/>
              <w:sz w:val="26"/>
              <w:szCs w:val="26"/>
              <w:rtl/>
            </w:rPr>
            <w:t xml:space="preserve"> </w:t>
          </w:r>
          <w:sdt>
            <w:sdtPr>
              <w:rPr>
                <w:b/>
                <w:bCs/>
                <w:sz w:val="26"/>
                <w:szCs w:val="26"/>
                <w:rtl/>
              </w:rPr>
              <w:alias w:val="3154"/>
              <w:tag w:val="3154"/>
              <w:id w:val="-1714497037"/>
              <w:placeholder>
                <w:docPart w:val="4672CCA166BA4F0A892EB1D7BA0002CB"/>
              </w:placeholder>
              <w:text w:multiLine="1"/>
            </w:sdtPr>
            <w:sdtEndPr/>
            <w:sdtContent>
              <w:r w:rsidR="001A0D5F">
                <w:rPr>
                  <w:b/>
                  <w:bCs/>
                  <w:sz w:val="26"/>
                  <w:szCs w:val="26"/>
                  <w:rtl/>
                </w:rPr>
                <w:t>כ</w:t>
              </w:r>
              <w:r w:rsidR="001A0D5F">
                <w:rPr>
                  <w:rFonts w:hint="cs"/>
                  <w:b/>
                  <w:bCs/>
                  <w:sz w:val="26"/>
                  <w:szCs w:val="26"/>
                  <w:rtl/>
                </w:rPr>
                <w:t>.</w:t>
              </w:r>
              <w:r w:rsidR="001A0D5F">
                <w:rPr>
                  <w:b/>
                  <w:bCs/>
                  <w:sz w:val="26"/>
                  <w:szCs w:val="26"/>
                  <w:rtl/>
                </w:rPr>
                <w:t xml:space="preserve"> נ' כ</w:t>
              </w:r>
              <w:r w:rsidR="001A0D5F">
                <w:rPr>
                  <w:rFonts w:hint="cs"/>
                  <w:b/>
                  <w:bCs/>
                  <w:sz w:val="26"/>
                  <w:szCs w:val="26"/>
                  <w:rtl/>
                </w:rPr>
                <w:t>.</w:t>
              </w:r>
            </w:sdtContent>
          </w:sdt>
        </w:p>
      </w:tc>
    </w:tr>
  </w:tbl>
  <w:p w:rsidR="00694556" w:rsidRDefault="00694556" w:rsidP="0088140F">
    <w:pPr>
      <w:pStyle w:val="a5"/>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C60" w:rsidRDefault="00B07C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5901B8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E22E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16714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1FA162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27AFE8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3006D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90B8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D6A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CC31D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D0E4F5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A8D5280"/>
    <w:multiLevelType w:val="hybridMultilevel"/>
    <w:tmpl w:val="18E20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086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08688&amp;lt;/CaseID&amp;gt;_x000d__x000a_        &amp;lt;CaseMonth&amp;gt;9&amp;lt;/CaseMonth&amp;gt;_x000d__x000a_        &amp;lt;CaseYear&amp;gt;2023&amp;lt;/CaseYear&amp;gt;_x000d__x000a_        &amp;lt;CaseNumber&amp;gt;37679&amp;lt;/CaseNumber&amp;gt;_x000d__x000a_        &amp;lt;NumeratorGroupID&amp;gt;1&amp;lt;/NumeratorGroupID&amp;gt;_x000d__x000a_        &amp;lt;CaseName&amp;gt;כהן נ&amp;#39; כהן&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7679-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3&amp;lt;/CaseNextDeterminingTask&amp;gt;_x000d__x000a_        &amp;lt;CaseOpenDate&amp;gt;2023-09-18T10:5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1&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08688&amp;lt;/CaseID&amp;gt;_x000d__x000a_        &amp;lt;CaseMonth&amp;gt;9&amp;lt;/CaseMonth&amp;gt;_x000d__x000a_        &amp;lt;CaseYear&amp;gt;2023&amp;lt;/CaseYear&amp;gt;_x000d__x000a_        &amp;lt;CaseNumber&amp;gt;37679&amp;lt;/CaseNumber&amp;gt;_x000d__x000a_        &amp;lt;NumeratorGroupID&amp;gt;1&amp;lt;/NumeratorGroupID&amp;gt;_x000d__x000a_        &amp;lt;CaseName&amp;gt;כהן נ&amp;#39; כהן&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7679-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3&amp;lt;/CaseNextDeterminingTask&amp;gt;_x000d__x000a_        &amp;lt;CaseOpenDate&amp;gt;2023-09-18T10:5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1&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91172&amp;lt;/DecisionID&amp;gt;_x000d__x000a_        &amp;lt;DecisionName&amp;gt;החלטה  שניתנה ע&amp;quot;י  אריה נאמן&amp;lt;/DecisionName&amp;gt;_x000d__x000a_        &amp;lt;DecisionStatusID&amp;gt;1&amp;lt;/DecisionStatusID&amp;gt;_x000d__x000a_        &amp;lt;DecisionStatusChangeDate&amp;gt;2023-11-06T22:19:20.597+02:00&amp;lt;/DecisionStatusChangeDate&amp;gt;_x000d__x000a_        &amp;lt;DecisionSignatureDate&amp;gt;2023-11-06T13:31:28.88+02:00&amp;lt;/DecisionSignatureDate&amp;gt;_x000d__x000a_        &amp;lt;DecisionSignatureUserID&amp;gt;058677980@GOV.IL&amp;lt;/DecisionSignatureUserID&amp;gt;_x000d__x000a_        &amp;lt;DecisionCreateDate&amp;gt;2023-11-06T12:44:28.017+02:00&amp;lt;/DecisionCreateDate&amp;gt;_x000d__x000a_        &amp;lt;DecisionChangeDate&amp;gt;2023-11-06T22:19:20.17+02:00&amp;lt;/DecisionChangeDate&amp;gt;_x000d__x000a_        &amp;lt;DecisionChangeUserID&amp;gt;0586779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2422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240502@GOV.IL&amp;lt;/DecisionCreationUserID&amp;gt;_x000d__x000a_        &amp;lt;DecisionDisplayName&amp;gt;החלטה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7891172&amp;lt;/DecisionID&amp;gt;_x000d__x000a_        &amp;lt;CaseID&amp;gt;80608688&amp;lt;/CaseID&amp;gt;_x000d__x000a_        &amp;lt;IsOriginal&amp;gt;true&amp;lt;/IsOriginal&amp;gt;_x000d__x000a_        &amp;lt;IsDeleted&amp;gt;false&amp;lt;/IsDeleted&amp;gt;_x000d__x000a_        &amp;lt;CaseName&amp;gt;כהן נ&amp;#39; כהן&amp;lt;/CaseName&amp;gt;_x000d__x000a_        &amp;lt;CaseDisplayIdentifier&amp;gt;37679-09-23 רמ&amp;quot;ש&amp;lt;/CaseDisplayIdentifier&amp;gt;_x000d__x000a_      &amp;lt;/dt_DecisionCase&amp;gt;_x000d__x000a_    &amp;lt;/DecisionDS&amp;gt;_x000d__x000a_  &amp;lt;/diffgr:diffgram&amp;gt;_x000d__x000a_&amp;lt;/DecisionDS&amp;gt;"/>
    <w:docVar w:name="DecisionID" w:val="147891172"/>
    <w:docVar w:name="WordClientAssemblyName" w:val="NGCS.Decision.ClientWordBL"/>
    <w:docVar w:name="WordClientClassName" w:val="NGCS.Decision.ClientWordBL.DecisionClient"/>
  </w:docVars>
  <w:rsids>
    <w:rsidRoot w:val="00694556"/>
    <w:rsid w:val="00000062"/>
    <w:rsid w:val="0000226B"/>
    <w:rsid w:val="00005C8B"/>
    <w:rsid w:val="00007DE0"/>
    <w:rsid w:val="00010C62"/>
    <w:rsid w:val="00014BFF"/>
    <w:rsid w:val="0002539F"/>
    <w:rsid w:val="000346CC"/>
    <w:rsid w:val="00051F4A"/>
    <w:rsid w:val="000529D2"/>
    <w:rsid w:val="000564AB"/>
    <w:rsid w:val="00064FBD"/>
    <w:rsid w:val="00080D3B"/>
    <w:rsid w:val="00082AB2"/>
    <w:rsid w:val="000906FE"/>
    <w:rsid w:val="00096AF7"/>
    <w:rsid w:val="000B047B"/>
    <w:rsid w:val="000B344B"/>
    <w:rsid w:val="000C3B0F"/>
    <w:rsid w:val="000C3B60"/>
    <w:rsid w:val="000E0DD2"/>
    <w:rsid w:val="000E3AF1"/>
    <w:rsid w:val="000F0BC8"/>
    <w:rsid w:val="000F0DD6"/>
    <w:rsid w:val="00106F3B"/>
    <w:rsid w:val="00107E6D"/>
    <w:rsid w:val="0011194C"/>
    <w:rsid w:val="0011424C"/>
    <w:rsid w:val="001173C6"/>
    <w:rsid w:val="001367BC"/>
    <w:rsid w:val="00144D2A"/>
    <w:rsid w:val="0014653E"/>
    <w:rsid w:val="00180519"/>
    <w:rsid w:val="001828C9"/>
    <w:rsid w:val="00191C82"/>
    <w:rsid w:val="001A0D5F"/>
    <w:rsid w:val="001C4003"/>
    <w:rsid w:val="001D4DBF"/>
    <w:rsid w:val="001D665A"/>
    <w:rsid w:val="001E75CA"/>
    <w:rsid w:val="002265FF"/>
    <w:rsid w:val="00235B97"/>
    <w:rsid w:val="00271B56"/>
    <w:rsid w:val="002C344E"/>
    <w:rsid w:val="002E75E9"/>
    <w:rsid w:val="002F0B1E"/>
    <w:rsid w:val="00307A6A"/>
    <w:rsid w:val="00307C40"/>
    <w:rsid w:val="00320433"/>
    <w:rsid w:val="003230C7"/>
    <w:rsid w:val="00327E50"/>
    <w:rsid w:val="0033597A"/>
    <w:rsid w:val="0033683A"/>
    <w:rsid w:val="00343D89"/>
    <w:rsid w:val="00362612"/>
    <w:rsid w:val="0036743F"/>
    <w:rsid w:val="003715DD"/>
    <w:rsid w:val="003823E0"/>
    <w:rsid w:val="003A4521"/>
    <w:rsid w:val="003B3E8D"/>
    <w:rsid w:val="003D1C8C"/>
    <w:rsid w:val="003F543F"/>
    <w:rsid w:val="003F7BBD"/>
    <w:rsid w:val="0040096C"/>
    <w:rsid w:val="004112B4"/>
    <w:rsid w:val="00414F1F"/>
    <w:rsid w:val="0043125D"/>
    <w:rsid w:val="0043502B"/>
    <w:rsid w:val="004443AC"/>
    <w:rsid w:val="00444B02"/>
    <w:rsid w:val="00451E28"/>
    <w:rsid w:val="00453F04"/>
    <w:rsid w:val="004549C7"/>
    <w:rsid w:val="00462C62"/>
    <w:rsid w:val="00465D36"/>
    <w:rsid w:val="004B7F9B"/>
    <w:rsid w:val="004C17EE"/>
    <w:rsid w:val="004C4BDF"/>
    <w:rsid w:val="004D1187"/>
    <w:rsid w:val="004D3AA0"/>
    <w:rsid w:val="004E1987"/>
    <w:rsid w:val="004E2E15"/>
    <w:rsid w:val="004E6E3C"/>
    <w:rsid w:val="00511B90"/>
    <w:rsid w:val="005120DB"/>
    <w:rsid w:val="00520898"/>
    <w:rsid w:val="00523621"/>
    <w:rsid w:val="00524986"/>
    <w:rsid w:val="005268F6"/>
    <w:rsid w:val="00534284"/>
    <w:rsid w:val="00547DB7"/>
    <w:rsid w:val="00550CC4"/>
    <w:rsid w:val="005C0610"/>
    <w:rsid w:val="005C0627"/>
    <w:rsid w:val="005D07F2"/>
    <w:rsid w:val="005F4F09"/>
    <w:rsid w:val="0061431B"/>
    <w:rsid w:val="00622BAA"/>
    <w:rsid w:val="006306CF"/>
    <w:rsid w:val="006318D8"/>
    <w:rsid w:val="00644E9A"/>
    <w:rsid w:val="006535C2"/>
    <w:rsid w:val="00671BD5"/>
    <w:rsid w:val="006805C1"/>
    <w:rsid w:val="00686C21"/>
    <w:rsid w:val="006931C1"/>
    <w:rsid w:val="00694556"/>
    <w:rsid w:val="006B7258"/>
    <w:rsid w:val="006C30C5"/>
    <w:rsid w:val="006D3B31"/>
    <w:rsid w:val="006E0D96"/>
    <w:rsid w:val="006E1A53"/>
    <w:rsid w:val="006F56E6"/>
    <w:rsid w:val="00704EDA"/>
    <w:rsid w:val="00721122"/>
    <w:rsid w:val="00723AC6"/>
    <w:rsid w:val="00734689"/>
    <w:rsid w:val="00753019"/>
    <w:rsid w:val="00754801"/>
    <w:rsid w:val="00761441"/>
    <w:rsid w:val="00795365"/>
    <w:rsid w:val="007A351D"/>
    <w:rsid w:val="007B7765"/>
    <w:rsid w:val="007C5BDD"/>
    <w:rsid w:val="007D45E3"/>
    <w:rsid w:val="007E6115"/>
    <w:rsid w:val="007F4609"/>
    <w:rsid w:val="00814468"/>
    <w:rsid w:val="00815946"/>
    <w:rsid w:val="008176A1"/>
    <w:rsid w:val="00820005"/>
    <w:rsid w:val="00841158"/>
    <w:rsid w:val="00842DD1"/>
    <w:rsid w:val="00844318"/>
    <w:rsid w:val="00851257"/>
    <w:rsid w:val="00863F5D"/>
    <w:rsid w:val="00870890"/>
    <w:rsid w:val="00873602"/>
    <w:rsid w:val="00875D12"/>
    <w:rsid w:val="0088140F"/>
    <w:rsid w:val="0088479D"/>
    <w:rsid w:val="00891F42"/>
    <w:rsid w:val="00896889"/>
    <w:rsid w:val="008A59EE"/>
    <w:rsid w:val="008A6E97"/>
    <w:rsid w:val="008B3CB5"/>
    <w:rsid w:val="008C5714"/>
    <w:rsid w:val="008D10B2"/>
    <w:rsid w:val="008E78DA"/>
    <w:rsid w:val="00903896"/>
    <w:rsid w:val="00906F3D"/>
    <w:rsid w:val="00915A03"/>
    <w:rsid w:val="009251ED"/>
    <w:rsid w:val="0094424E"/>
    <w:rsid w:val="00955642"/>
    <w:rsid w:val="009622DF"/>
    <w:rsid w:val="0096493F"/>
    <w:rsid w:val="00967DFF"/>
    <w:rsid w:val="009862F9"/>
    <w:rsid w:val="009920B7"/>
    <w:rsid w:val="00994341"/>
    <w:rsid w:val="009D1A48"/>
    <w:rsid w:val="009E1CE7"/>
    <w:rsid w:val="009E4EA5"/>
    <w:rsid w:val="009E6090"/>
    <w:rsid w:val="009F164B"/>
    <w:rsid w:val="009F323C"/>
    <w:rsid w:val="00A2315E"/>
    <w:rsid w:val="00A3392B"/>
    <w:rsid w:val="00A77D0A"/>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105B"/>
    <w:rsid w:val="00AF7FDA"/>
    <w:rsid w:val="00B07C60"/>
    <w:rsid w:val="00B5356E"/>
    <w:rsid w:val="00B62AD7"/>
    <w:rsid w:val="00B66717"/>
    <w:rsid w:val="00B809AD"/>
    <w:rsid w:val="00B80CBD"/>
    <w:rsid w:val="00B8175D"/>
    <w:rsid w:val="00B8545C"/>
    <w:rsid w:val="00B86096"/>
    <w:rsid w:val="00B92787"/>
    <w:rsid w:val="00B95D6E"/>
    <w:rsid w:val="00B964D9"/>
    <w:rsid w:val="00BA0A7C"/>
    <w:rsid w:val="00BA517C"/>
    <w:rsid w:val="00BB3D05"/>
    <w:rsid w:val="00BB73BE"/>
    <w:rsid w:val="00BC2D89"/>
    <w:rsid w:val="00BC4CB2"/>
    <w:rsid w:val="00BD6531"/>
    <w:rsid w:val="00BE05B2"/>
    <w:rsid w:val="00BE1FCB"/>
    <w:rsid w:val="00BF1908"/>
    <w:rsid w:val="00C13FDE"/>
    <w:rsid w:val="00C22D93"/>
    <w:rsid w:val="00C23458"/>
    <w:rsid w:val="00C260C0"/>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4E76"/>
    <w:rsid w:val="00D96D8C"/>
    <w:rsid w:val="00DA6649"/>
    <w:rsid w:val="00DC1259"/>
    <w:rsid w:val="00DC1BD2"/>
    <w:rsid w:val="00DC2571"/>
    <w:rsid w:val="00DC487C"/>
    <w:rsid w:val="00DD4335"/>
    <w:rsid w:val="00DE1E7D"/>
    <w:rsid w:val="00DE6BF6"/>
    <w:rsid w:val="00DF3A50"/>
    <w:rsid w:val="00E1068A"/>
    <w:rsid w:val="00E25884"/>
    <w:rsid w:val="00E25B55"/>
    <w:rsid w:val="00E31C2B"/>
    <w:rsid w:val="00E5426A"/>
    <w:rsid w:val="00E54642"/>
    <w:rsid w:val="00E80CBE"/>
    <w:rsid w:val="00E9269D"/>
    <w:rsid w:val="00E962E3"/>
    <w:rsid w:val="00EB6C79"/>
    <w:rsid w:val="00EC37E9"/>
    <w:rsid w:val="00EF7F21"/>
    <w:rsid w:val="00F038D8"/>
    <w:rsid w:val="00F06995"/>
    <w:rsid w:val="00F12D66"/>
    <w:rsid w:val="00F13623"/>
    <w:rsid w:val="00F35D70"/>
    <w:rsid w:val="00F44D1D"/>
    <w:rsid w:val="00F47D39"/>
    <w:rsid w:val="00F657CC"/>
    <w:rsid w:val="00F84B6D"/>
    <w:rsid w:val="00F85AD9"/>
    <w:rsid w:val="00F957E8"/>
    <w:rsid w:val="00FA311A"/>
    <w:rsid w:val="00FA5FC3"/>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8814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8814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88140F"/>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88140F"/>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88140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88140F"/>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88140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88140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88140F"/>
    <w:rPr>
      <w:noProof w:val="0"/>
      <w:color w:val="800080" w:themeColor="followedHyperlink"/>
      <w:u w:val="single"/>
    </w:rPr>
  </w:style>
  <w:style w:type="character" w:styleId="HTMLCite">
    <w:name w:val="HTML Cite"/>
    <w:basedOn w:val="a2"/>
    <w:semiHidden/>
    <w:unhideWhenUsed/>
    <w:rsid w:val="0088140F"/>
    <w:rPr>
      <w:i/>
      <w:iCs/>
      <w:noProof w:val="0"/>
    </w:rPr>
  </w:style>
  <w:style w:type="character" w:styleId="HTMLCode">
    <w:name w:val="HTML Code"/>
    <w:basedOn w:val="a2"/>
    <w:semiHidden/>
    <w:unhideWhenUsed/>
    <w:rsid w:val="0088140F"/>
    <w:rPr>
      <w:rFonts w:ascii="Consolas" w:hAnsi="Consolas"/>
      <w:noProof w:val="0"/>
      <w:sz w:val="20"/>
      <w:szCs w:val="20"/>
    </w:rPr>
  </w:style>
  <w:style w:type="character" w:styleId="HTMLDefinition">
    <w:name w:val="HTML Definition"/>
    <w:basedOn w:val="a2"/>
    <w:semiHidden/>
    <w:unhideWhenUsed/>
    <w:rsid w:val="0088140F"/>
    <w:rPr>
      <w:i/>
      <w:iCs/>
      <w:noProof w:val="0"/>
    </w:rPr>
  </w:style>
  <w:style w:type="character" w:styleId="HTMLVariable">
    <w:name w:val="HTML Variable"/>
    <w:basedOn w:val="a2"/>
    <w:semiHidden/>
    <w:unhideWhenUsed/>
    <w:rsid w:val="0088140F"/>
    <w:rPr>
      <w:i/>
      <w:iCs/>
      <w:noProof w:val="0"/>
    </w:rPr>
  </w:style>
  <w:style w:type="paragraph" w:styleId="HTML">
    <w:name w:val="HTML Preformatted"/>
    <w:basedOn w:val="a1"/>
    <w:link w:val="HTML0"/>
    <w:semiHidden/>
    <w:unhideWhenUsed/>
    <w:rsid w:val="0088140F"/>
    <w:rPr>
      <w:rFonts w:ascii="Consolas" w:hAnsi="Consolas"/>
      <w:sz w:val="20"/>
      <w:szCs w:val="20"/>
    </w:rPr>
  </w:style>
  <w:style w:type="character" w:customStyle="1" w:styleId="HTML0">
    <w:name w:val="HTML מעוצב מראש תו"/>
    <w:basedOn w:val="a2"/>
    <w:link w:val="HTML"/>
    <w:semiHidden/>
    <w:rsid w:val="0088140F"/>
    <w:rPr>
      <w:rFonts w:ascii="Consolas" w:hAnsi="Consolas" w:cs="David"/>
      <w:noProof w:val="0"/>
    </w:rPr>
  </w:style>
  <w:style w:type="character" w:styleId="Hyperlink">
    <w:name w:val="Hyperlink"/>
    <w:basedOn w:val="a2"/>
    <w:semiHidden/>
    <w:unhideWhenUsed/>
    <w:rsid w:val="0088140F"/>
    <w:rPr>
      <w:noProof w:val="0"/>
      <w:color w:val="0000FF" w:themeColor="hyperlink"/>
      <w:u w:val="single"/>
    </w:rPr>
  </w:style>
  <w:style w:type="paragraph" w:styleId="Index1">
    <w:name w:val="index 1"/>
    <w:basedOn w:val="a1"/>
    <w:next w:val="a1"/>
    <w:autoRedefine/>
    <w:semiHidden/>
    <w:unhideWhenUsed/>
    <w:rsid w:val="0088140F"/>
    <w:pPr>
      <w:ind w:left="240" w:hanging="240"/>
    </w:pPr>
  </w:style>
  <w:style w:type="paragraph" w:styleId="Index2">
    <w:name w:val="index 2"/>
    <w:basedOn w:val="a1"/>
    <w:next w:val="a1"/>
    <w:autoRedefine/>
    <w:semiHidden/>
    <w:unhideWhenUsed/>
    <w:rsid w:val="0088140F"/>
    <w:pPr>
      <w:ind w:left="480" w:hanging="240"/>
    </w:pPr>
  </w:style>
  <w:style w:type="paragraph" w:styleId="Index3">
    <w:name w:val="index 3"/>
    <w:basedOn w:val="a1"/>
    <w:next w:val="a1"/>
    <w:autoRedefine/>
    <w:semiHidden/>
    <w:unhideWhenUsed/>
    <w:rsid w:val="0088140F"/>
    <w:pPr>
      <w:ind w:left="720" w:hanging="240"/>
    </w:pPr>
  </w:style>
  <w:style w:type="paragraph" w:styleId="Index4">
    <w:name w:val="index 4"/>
    <w:basedOn w:val="a1"/>
    <w:next w:val="a1"/>
    <w:autoRedefine/>
    <w:semiHidden/>
    <w:unhideWhenUsed/>
    <w:rsid w:val="0088140F"/>
    <w:pPr>
      <w:ind w:left="960" w:hanging="240"/>
    </w:pPr>
  </w:style>
  <w:style w:type="paragraph" w:styleId="Index5">
    <w:name w:val="index 5"/>
    <w:basedOn w:val="a1"/>
    <w:next w:val="a1"/>
    <w:autoRedefine/>
    <w:semiHidden/>
    <w:unhideWhenUsed/>
    <w:rsid w:val="0088140F"/>
    <w:pPr>
      <w:ind w:left="1200" w:hanging="240"/>
    </w:pPr>
  </w:style>
  <w:style w:type="paragraph" w:styleId="Index6">
    <w:name w:val="index 6"/>
    <w:basedOn w:val="a1"/>
    <w:next w:val="a1"/>
    <w:autoRedefine/>
    <w:semiHidden/>
    <w:unhideWhenUsed/>
    <w:rsid w:val="0088140F"/>
    <w:pPr>
      <w:ind w:left="1440" w:hanging="240"/>
    </w:pPr>
  </w:style>
  <w:style w:type="paragraph" w:styleId="Index7">
    <w:name w:val="index 7"/>
    <w:basedOn w:val="a1"/>
    <w:next w:val="a1"/>
    <w:autoRedefine/>
    <w:semiHidden/>
    <w:unhideWhenUsed/>
    <w:rsid w:val="0088140F"/>
    <w:pPr>
      <w:ind w:left="1680" w:hanging="240"/>
    </w:pPr>
  </w:style>
  <w:style w:type="paragraph" w:styleId="Index8">
    <w:name w:val="index 8"/>
    <w:basedOn w:val="a1"/>
    <w:next w:val="a1"/>
    <w:autoRedefine/>
    <w:semiHidden/>
    <w:unhideWhenUsed/>
    <w:rsid w:val="0088140F"/>
    <w:pPr>
      <w:ind w:left="1920" w:hanging="240"/>
    </w:pPr>
  </w:style>
  <w:style w:type="paragraph" w:styleId="Index9">
    <w:name w:val="index 9"/>
    <w:basedOn w:val="a1"/>
    <w:next w:val="a1"/>
    <w:autoRedefine/>
    <w:semiHidden/>
    <w:unhideWhenUsed/>
    <w:rsid w:val="0088140F"/>
    <w:pPr>
      <w:ind w:left="2160" w:hanging="240"/>
    </w:pPr>
  </w:style>
  <w:style w:type="paragraph" w:styleId="NormalWeb">
    <w:name w:val="Normal (Web)"/>
    <w:basedOn w:val="a1"/>
    <w:semiHidden/>
    <w:unhideWhenUsed/>
    <w:rsid w:val="0088140F"/>
    <w:rPr>
      <w:rFonts w:cs="Times New Roman"/>
    </w:rPr>
  </w:style>
  <w:style w:type="paragraph" w:styleId="TOC1">
    <w:name w:val="toc 1"/>
    <w:basedOn w:val="a1"/>
    <w:next w:val="a1"/>
    <w:autoRedefine/>
    <w:semiHidden/>
    <w:unhideWhenUsed/>
    <w:rsid w:val="0088140F"/>
    <w:pPr>
      <w:spacing w:after="100"/>
    </w:pPr>
  </w:style>
  <w:style w:type="paragraph" w:styleId="TOC2">
    <w:name w:val="toc 2"/>
    <w:basedOn w:val="a1"/>
    <w:next w:val="a1"/>
    <w:autoRedefine/>
    <w:semiHidden/>
    <w:unhideWhenUsed/>
    <w:rsid w:val="0088140F"/>
    <w:pPr>
      <w:spacing w:after="100"/>
      <w:ind w:left="240"/>
    </w:pPr>
  </w:style>
  <w:style w:type="paragraph" w:styleId="TOC3">
    <w:name w:val="toc 3"/>
    <w:basedOn w:val="a1"/>
    <w:next w:val="a1"/>
    <w:autoRedefine/>
    <w:semiHidden/>
    <w:unhideWhenUsed/>
    <w:rsid w:val="0088140F"/>
    <w:pPr>
      <w:spacing w:after="100"/>
      <w:ind w:left="480"/>
    </w:pPr>
  </w:style>
  <w:style w:type="paragraph" w:styleId="TOC4">
    <w:name w:val="toc 4"/>
    <w:basedOn w:val="a1"/>
    <w:next w:val="a1"/>
    <w:autoRedefine/>
    <w:semiHidden/>
    <w:unhideWhenUsed/>
    <w:rsid w:val="0088140F"/>
    <w:pPr>
      <w:spacing w:after="100"/>
      <w:ind w:left="720"/>
    </w:pPr>
  </w:style>
  <w:style w:type="paragraph" w:styleId="TOC5">
    <w:name w:val="toc 5"/>
    <w:basedOn w:val="a1"/>
    <w:next w:val="a1"/>
    <w:autoRedefine/>
    <w:semiHidden/>
    <w:unhideWhenUsed/>
    <w:rsid w:val="0088140F"/>
    <w:pPr>
      <w:spacing w:after="100"/>
      <w:ind w:left="960"/>
    </w:pPr>
  </w:style>
  <w:style w:type="paragraph" w:styleId="TOC6">
    <w:name w:val="toc 6"/>
    <w:basedOn w:val="a1"/>
    <w:next w:val="a1"/>
    <w:autoRedefine/>
    <w:semiHidden/>
    <w:unhideWhenUsed/>
    <w:rsid w:val="0088140F"/>
    <w:pPr>
      <w:spacing w:after="100"/>
      <w:ind w:left="1200"/>
    </w:pPr>
  </w:style>
  <w:style w:type="paragraph" w:styleId="TOC7">
    <w:name w:val="toc 7"/>
    <w:basedOn w:val="a1"/>
    <w:next w:val="a1"/>
    <w:autoRedefine/>
    <w:semiHidden/>
    <w:unhideWhenUsed/>
    <w:rsid w:val="0088140F"/>
    <w:pPr>
      <w:spacing w:after="100"/>
      <w:ind w:left="1440"/>
    </w:pPr>
  </w:style>
  <w:style w:type="paragraph" w:styleId="TOC8">
    <w:name w:val="toc 8"/>
    <w:basedOn w:val="a1"/>
    <w:next w:val="a1"/>
    <w:autoRedefine/>
    <w:semiHidden/>
    <w:unhideWhenUsed/>
    <w:rsid w:val="0088140F"/>
    <w:pPr>
      <w:spacing w:after="100"/>
      <w:ind w:left="1680"/>
    </w:pPr>
  </w:style>
  <w:style w:type="paragraph" w:styleId="TOC9">
    <w:name w:val="toc 9"/>
    <w:basedOn w:val="a1"/>
    <w:next w:val="a1"/>
    <w:autoRedefine/>
    <w:semiHidden/>
    <w:unhideWhenUsed/>
    <w:rsid w:val="0088140F"/>
    <w:pPr>
      <w:spacing w:after="100"/>
      <w:ind w:left="1920"/>
    </w:pPr>
  </w:style>
  <w:style w:type="table" w:styleId="-1">
    <w:name w:val="Table 3D effects 1"/>
    <w:basedOn w:val="a3"/>
    <w:semiHidden/>
    <w:unhideWhenUsed/>
    <w:rsid w:val="0088140F"/>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88140F"/>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88140F"/>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88140F"/>
  </w:style>
  <w:style w:type="paragraph" w:styleId="af1">
    <w:name w:val="Salutation"/>
    <w:basedOn w:val="a1"/>
    <w:next w:val="a1"/>
    <w:link w:val="af2"/>
    <w:rsid w:val="0088140F"/>
  </w:style>
  <w:style w:type="character" w:customStyle="1" w:styleId="af2">
    <w:name w:val="ברכה תו"/>
    <w:basedOn w:val="a2"/>
    <w:link w:val="af1"/>
    <w:rsid w:val="0088140F"/>
    <w:rPr>
      <w:rFonts w:cs="David"/>
      <w:noProof w:val="0"/>
      <w:sz w:val="24"/>
      <w:szCs w:val="24"/>
    </w:rPr>
  </w:style>
  <w:style w:type="paragraph" w:styleId="af3">
    <w:name w:val="Body Text"/>
    <w:basedOn w:val="a1"/>
    <w:link w:val="af4"/>
    <w:semiHidden/>
    <w:unhideWhenUsed/>
    <w:rsid w:val="0088140F"/>
    <w:pPr>
      <w:spacing w:after="120"/>
    </w:pPr>
  </w:style>
  <w:style w:type="character" w:customStyle="1" w:styleId="af4">
    <w:name w:val="גוף טקסט תו"/>
    <w:basedOn w:val="a2"/>
    <w:link w:val="af3"/>
    <w:semiHidden/>
    <w:rsid w:val="0088140F"/>
    <w:rPr>
      <w:rFonts w:cs="David"/>
      <w:noProof w:val="0"/>
      <w:sz w:val="24"/>
      <w:szCs w:val="24"/>
    </w:rPr>
  </w:style>
  <w:style w:type="paragraph" w:styleId="23">
    <w:name w:val="Body Text 2"/>
    <w:basedOn w:val="a1"/>
    <w:link w:val="24"/>
    <w:semiHidden/>
    <w:unhideWhenUsed/>
    <w:rsid w:val="0088140F"/>
    <w:pPr>
      <w:spacing w:after="120" w:line="480" w:lineRule="auto"/>
    </w:pPr>
  </w:style>
  <w:style w:type="character" w:customStyle="1" w:styleId="24">
    <w:name w:val="גוף טקסט 2 תו"/>
    <w:basedOn w:val="a2"/>
    <w:link w:val="23"/>
    <w:semiHidden/>
    <w:rsid w:val="0088140F"/>
    <w:rPr>
      <w:rFonts w:cs="David"/>
      <w:noProof w:val="0"/>
      <w:sz w:val="24"/>
      <w:szCs w:val="24"/>
    </w:rPr>
  </w:style>
  <w:style w:type="paragraph" w:styleId="33">
    <w:name w:val="Body Text 3"/>
    <w:basedOn w:val="a1"/>
    <w:link w:val="34"/>
    <w:semiHidden/>
    <w:unhideWhenUsed/>
    <w:rsid w:val="0088140F"/>
    <w:pPr>
      <w:spacing w:after="120"/>
    </w:pPr>
    <w:rPr>
      <w:sz w:val="16"/>
      <w:szCs w:val="16"/>
    </w:rPr>
  </w:style>
  <w:style w:type="character" w:customStyle="1" w:styleId="34">
    <w:name w:val="גוף טקסט 3 תו"/>
    <w:basedOn w:val="a2"/>
    <w:link w:val="33"/>
    <w:semiHidden/>
    <w:rsid w:val="0088140F"/>
    <w:rPr>
      <w:rFonts w:cs="David"/>
      <w:noProof w:val="0"/>
      <w:sz w:val="16"/>
      <w:szCs w:val="16"/>
    </w:rPr>
  </w:style>
  <w:style w:type="character" w:styleId="HTML1">
    <w:name w:val="HTML Sample"/>
    <w:basedOn w:val="a2"/>
    <w:semiHidden/>
    <w:unhideWhenUsed/>
    <w:rsid w:val="0088140F"/>
    <w:rPr>
      <w:rFonts w:ascii="Consolas" w:hAnsi="Consolas"/>
      <w:noProof w:val="0"/>
      <w:sz w:val="24"/>
      <w:szCs w:val="24"/>
    </w:rPr>
  </w:style>
  <w:style w:type="character" w:styleId="af5">
    <w:name w:val="Emphasis"/>
    <w:basedOn w:val="a2"/>
    <w:qFormat/>
    <w:rsid w:val="0088140F"/>
    <w:rPr>
      <w:i/>
      <w:iCs/>
      <w:noProof w:val="0"/>
    </w:rPr>
  </w:style>
  <w:style w:type="character" w:styleId="af6">
    <w:name w:val="Intense Emphasis"/>
    <w:basedOn w:val="a2"/>
    <w:uiPriority w:val="21"/>
    <w:qFormat/>
    <w:rsid w:val="0088140F"/>
    <w:rPr>
      <w:i/>
      <w:iCs/>
      <w:noProof w:val="0"/>
      <w:color w:val="4F81BD" w:themeColor="accent1"/>
    </w:rPr>
  </w:style>
  <w:style w:type="character" w:styleId="af7">
    <w:name w:val="Subtle Emphasis"/>
    <w:basedOn w:val="a2"/>
    <w:uiPriority w:val="19"/>
    <w:qFormat/>
    <w:rsid w:val="0088140F"/>
    <w:rPr>
      <w:i/>
      <w:iCs/>
      <w:noProof w:val="0"/>
      <w:color w:val="404040" w:themeColor="text1" w:themeTint="BF"/>
    </w:rPr>
  </w:style>
  <w:style w:type="paragraph" w:styleId="af8">
    <w:name w:val="List Continue"/>
    <w:basedOn w:val="a1"/>
    <w:semiHidden/>
    <w:unhideWhenUsed/>
    <w:rsid w:val="0088140F"/>
    <w:pPr>
      <w:spacing w:after="120"/>
      <w:ind w:left="283"/>
      <w:contextualSpacing/>
    </w:pPr>
  </w:style>
  <w:style w:type="paragraph" w:styleId="25">
    <w:name w:val="List Continue 2"/>
    <w:basedOn w:val="a1"/>
    <w:semiHidden/>
    <w:unhideWhenUsed/>
    <w:rsid w:val="0088140F"/>
    <w:pPr>
      <w:spacing w:after="120"/>
      <w:ind w:left="566"/>
      <w:contextualSpacing/>
    </w:pPr>
  </w:style>
  <w:style w:type="paragraph" w:styleId="35">
    <w:name w:val="List Continue 3"/>
    <w:basedOn w:val="a1"/>
    <w:semiHidden/>
    <w:unhideWhenUsed/>
    <w:rsid w:val="0088140F"/>
    <w:pPr>
      <w:spacing w:after="120"/>
      <w:ind w:left="849"/>
      <w:contextualSpacing/>
    </w:pPr>
  </w:style>
  <w:style w:type="paragraph" w:styleId="42">
    <w:name w:val="List Continue 4"/>
    <w:basedOn w:val="a1"/>
    <w:semiHidden/>
    <w:unhideWhenUsed/>
    <w:rsid w:val="0088140F"/>
    <w:pPr>
      <w:spacing w:after="120"/>
      <w:ind w:left="1132"/>
      <w:contextualSpacing/>
    </w:pPr>
  </w:style>
  <w:style w:type="paragraph" w:styleId="53">
    <w:name w:val="List Continue 5"/>
    <w:basedOn w:val="a1"/>
    <w:semiHidden/>
    <w:unhideWhenUsed/>
    <w:rsid w:val="0088140F"/>
    <w:pPr>
      <w:spacing w:after="120"/>
      <w:ind w:left="1415"/>
      <w:contextualSpacing/>
    </w:pPr>
  </w:style>
  <w:style w:type="character" w:styleId="af9">
    <w:name w:val="Intense Reference"/>
    <w:basedOn w:val="a2"/>
    <w:uiPriority w:val="32"/>
    <w:qFormat/>
    <w:rsid w:val="0088140F"/>
    <w:rPr>
      <w:b/>
      <w:bCs/>
      <w:smallCaps/>
      <w:noProof w:val="0"/>
      <w:color w:val="4F81BD" w:themeColor="accent1"/>
      <w:spacing w:val="5"/>
    </w:rPr>
  </w:style>
  <w:style w:type="character" w:styleId="afa">
    <w:name w:val="endnote reference"/>
    <w:basedOn w:val="a2"/>
    <w:semiHidden/>
    <w:unhideWhenUsed/>
    <w:rsid w:val="0088140F"/>
    <w:rPr>
      <w:noProof w:val="0"/>
      <w:vertAlign w:val="superscript"/>
    </w:rPr>
  </w:style>
  <w:style w:type="character" w:styleId="afb">
    <w:name w:val="footnote reference"/>
    <w:basedOn w:val="a2"/>
    <w:semiHidden/>
    <w:unhideWhenUsed/>
    <w:rsid w:val="0088140F"/>
    <w:rPr>
      <w:noProof w:val="0"/>
      <w:vertAlign w:val="superscript"/>
    </w:rPr>
  </w:style>
  <w:style w:type="character" w:styleId="afc">
    <w:name w:val="Subtle Reference"/>
    <w:basedOn w:val="a2"/>
    <w:uiPriority w:val="31"/>
    <w:qFormat/>
    <w:rsid w:val="0088140F"/>
    <w:rPr>
      <w:smallCaps/>
      <w:noProof w:val="0"/>
      <w:color w:val="5A5A5A" w:themeColor="text1" w:themeTint="A5"/>
    </w:rPr>
  </w:style>
  <w:style w:type="table" w:styleId="afd">
    <w:name w:val="Light Shading"/>
    <w:basedOn w:val="a3"/>
    <w:uiPriority w:val="60"/>
    <w:semiHidden/>
    <w:unhideWhenUsed/>
    <w:rsid w:val="008814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88140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88140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88140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88140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88140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88140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8814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8814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88140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88140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88140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88140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88140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88140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8814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8814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8814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8814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8814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8814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88140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88140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88140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88140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88140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88140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88140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88140F"/>
    <w:rPr>
      <w:b/>
      <w:bCs/>
      <w:noProof w:val="0"/>
    </w:rPr>
  </w:style>
  <w:style w:type="paragraph" w:styleId="aff0">
    <w:name w:val="Signature"/>
    <w:basedOn w:val="a1"/>
    <w:link w:val="aff1"/>
    <w:semiHidden/>
    <w:unhideWhenUsed/>
    <w:rsid w:val="0088140F"/>
    <w:pPr>
      <w:ind w:left="4252"/>
    </w:pPr>
  </w:style>
  <w:style w:type="character" w:customStyle="1" w:styleId="aff1">
    <w:name w:val="חתימה תו"/>
    <w:basedOn w:val="a2"/>
    <w:link w:val="aff0"/>
    <w:semiHidden/>
    <w:rsid w:val="0088140F"/>
    <w:rPr>
      <w:rFonts w:cs="David"/>
      <w:noProof w:val="0"/>
      <w:sz w:val="24"/>
      <w:szCs w:val="24"/>
    </w:rPr>
  </w:style>
  <w:style w:type="paragraph" w:styleId="aff2">
    <w:name w:val="E-mail Signature"/>
    <w:basedOn w:val="a1"/>
    <w:link w:val="aff3"/>
    <w:semiHidden/>
    <w:unhideWhenUsed/>
    <w:rsid w:val="0088140F"/>
  </w:style>
  <w:style w:type="character" w:customStyle="1" w:styleId="aff3">
    <w:name w:val="חתימת דואר אלקטרוני תו"/>
    <w:basedOn w:val="a2"/>
    <w:link w:val="aff2"/>
    <w:semiHidden/>
    <w:rsid w:val="0088140F"/>
    <w:rPr>
      <w:rFonts w:cs="David"/>
      <w:noProof w:val="0"/>
      <w:sz w:val="24"/>
      <w:szCs w:val="24"/>
    </w:rPr>
  </w:style>
  <w:style w:type="table" w:styleId="aff4">
    <w:name w:val="Table Elegant"/>
    <w:basedOn w:val="a3"/>
    <w:semiHidden/>
    <w:unhideWhenUsed/>
    <w:rsid w:val="0088140F"/>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88140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88140F"/>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88140F"/>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88140F"/>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88140F"/>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88140F"/>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88140F"/>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88140F"/>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88140F"/>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88140F"/>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88140F"/>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88140F"/>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88140F"/>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88140F"/>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8814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8814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8814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8814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8814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88140F"/>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88140F"/>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88140F"/>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8814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8140F"/>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88140F"/>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88140F"/>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88140F"/>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88140F"/>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88140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8814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8140F"/>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88140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88140F"/>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88140F"/>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88140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88140F"/>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8814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88140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88140F"/>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88140F"/>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88140F"/>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88140F"/>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88140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8814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88140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88140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88140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88140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88140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88140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8814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88140F"/>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88140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88140F"/>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88140F"/>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88140F"/>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88140F"/>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8814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88140F"/>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88140F"/>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88140F"/>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88140F"/>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88140F"/>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88140F"/>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8814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88140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88140F"/>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88140F"/>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88140F"/>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88140F"/>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88140F"/>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8814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8814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88140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88140F"/>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88140F"/>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88140F"/>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88140F"/>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8814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88140F"/>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88140F"/>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88140F"/>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88140F"/>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88140F"/>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88140F"/>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8814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88140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88140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88140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88140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88140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88140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8814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88140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88140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88140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88140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88140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88140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8814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8814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8814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8814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8814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8814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8814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8814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88140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88140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88140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88140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88140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88140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8814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88140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88140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88140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88140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88140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88140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88140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88140F"/>
    <w:rPr>
      <w:sz w:val="20"/>
      <w:szCs w:val="20"/>
    </w:rPr>
  </w:style>
  <w:style w:type="character" w:customStyle="1" w:styleId="aff9">
    <w:name w:val="טקסט הערת סיום תו"/>
    <w:basedOn w:val="a2"/>
    <w:link w:val="aff8"/>
    <w:semiHidden/>
    <w:rsid w:val="0088140F"/>
    <w:rPr>
      <w:rFonts w:cs="David"/>
      <w:noProof w:val="0"/>
    </w:rPr>
  </w:style>
  <w:style w:type="paragraph" w:styleId="affa">
    <w:name w:val="footnote text"/>
    <w:basedOn w:val="a1"/>
    <w:link w:val="affb"/>
    <w:semiHidden/>
    <w:unhideWhenUsed/>
    <w:rsid w:val="0088140F"/>
    <w:rPr>
      <w:sz w:val="20"/>
      <w:szCs w:val="20"/>
    </w:rPr>
  </w:style>
  <w:style w:type="character" w:customStyle="1" w:styleId="affb">
    <w:name w:val="טקסט הערת שוליים תו"/>
    <w:basedOn w:val="a2"/>
    <w:link w:val="affa"/>
    <w:semiHidden/>
    <w:rsid w:val="0088140F"/>
    <w:rPr>
      <w:rFonts w:cs="David"/>
      <w:noProof w:val="0"/>
    </w:rPr>
  </w:style>
  <w:style w:type="paragraph" w:styleId="affc">
    <w:name w:val="macro"/>
    <w:link w:val="affd"/>
    <w:semiHidden/>
    <w:unhideWhenUsed/>
    <w:rsid w:val="0088140F"/>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88140F"/>
    <w:rPr>
      <w:rFonts w:ascii="Consolas" w:hAnsi="Consolas" w:cs="David"/>
      <w:noProof w:val="0"/>
    </w:rPr>
  </w:style>
  <w:style w:type="paragraph" w:styleId="affe">
    <w:name w:val="Plain Text"/>
    <w:basedOn w:val="a1"/>
    <w:link w:val="afff"/>
    <w:semiHidden/>
    <w:unhideWhenUsed/>
    <w:rsid w:val="0088140F"/>
    <w:rPr>
      <w:rFonts w:ascii="Consolas" w:hAnsi="Consolas"/>
      <w:sz w:val="21"/>
      <w:szCs w:val="21"/>
    </w:rPr>
  </w:style>
  <w:style w:type="character" w:customStyle="1" w:styleId="afff">
    <w:name w:val="טקסט רגיל תו"/>
    <w:basedOn w:val="a2"/>
    <w:link w:val="affe"/>
    <w:semiHidden/>
    <w:rsid w:val="0088140F"/>
    <w:rPr>
      <w:rFonts w:ascii="Consolas" w:hAnsi="Consolas" w:cs="David"/>
      <w:noProof w:val="0"/>
      <w:sz w:val="21"/>
      <w:szCs w:val="21"/>
    </w:rPr>
  </w:style>
  <w:style w:type="character" w:styleId="afff0">
    <w:name w:val="Book Title"/>
    <w:basedOn w:val="a2"/>
    <w:uiPriority w:val="33"/>
    <w:qFormat/>
    <w:rsid w:val="0088140F"/>
    <w:rPr>
      <w:b/>
      <w:bCs/>
      <w:i/>
      <w:iCs/>
      <w:noProof w:val="0"/>
      <w:spacing w:val="5"/>
    </w:rPr>
  </w:style>
  <w:style w:type="character" w:customStyle="1" w:styleId="10">
    <w:name w:val="כותרת 1 תו"/>
    <w:basedOn w:val="a2"/>
    <w:link w:val="1"/>
    <w:rsid w:val="0088140F"/>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88140F"/>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88140F"/>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88140F"/>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88140F"/>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88140F"/>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88140F"/>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88140F"/>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88140F"/>
    <w:rPr>
      <w:rFonts w:asciiTheme="majorHAnsi" w:eastAsiaTheme="majorEastAsia" w:hAnsiTheme="majorHAnsi" w:cstheme="majorBidi"/>
      <w:b/>
      <w:bCs/>
    </w:rPr>
  </w:style>
  <w:style w:type="paragraph" w:styleId="afff2">
    <w:name w:val="Note Heading"/>
    <w:basedOn w:val="a1"/>
    <w:next w:val="a1"/>
    <w:link w:val="afff3"/>
    <w:semiHidden/>
    <w:unhideWhenUsed/>
    <w:rsid w:val="0088140F"/>
  </w:style>
  <w:style w:type="character" w:customStyle="1" w:styleId="afff3">
    <w:name w:val="כותרת הערות תו"/>
    <w:basedOn w:val="a2"/>
    <w:link w:val="afff2"/>
    <w:semiHidden/>
    <w:rsid w:val="0088140F"/>
    <w:rPr>
      <w:rFonts w:cs="David"/>
      <w:noProof w:val="0"/>
      <w:sz w:val="24"/>
      <w:szCs w:val="24"/>
    </w:rPr>
  </w:style>
  <w:style w:type="paragraph" w:styleId="afff4">
    <w:name w:val="Title"/>
    <w:basedOn w:val="a1"/>
    <w:next w:val="a1"/>
    <w:link w:val="afff5"/>
    <w:qFormat/>
    <w:rsid w:val="0088140F"/>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88140F"/>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8814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88140F"/>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88140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88140F"/>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88140F"/>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88140F"/>
    <w:pPr>
      <w:outlineLvl w:val="9"/>
    </w:pPr>
  </w:style>
  <w:style w:type="paragraph" w:styleId="afffc">
    <w:name w:val="caption"/>
    <w:basedOn w:val="a1"/>
    <w:next w:val="a1"/>
    <w:semiHidden/>
    <w:unhideWhenUsed/>
    <w:qFormat/>
    <w:rsid w:val="0088140F"/>
    <w:pPr>
      <w:spacing w:after="200"/>
    </w:pPr>
    <w:rPr>
      <w:i/>
      <w:iCs/>
      <w:color w:val="1F497D" w:themeColor="text2"/>
      <w:sz w:val="18"/>
      <w:szCs w:val="18"/>
    </w:rPr>
  </w:style>
  <w:style w:type="paragraph" w:styleId="afffd">
    <w:name w:val="Body Text Indent"/>
    <w:basedOn w:val="a1"/>
    <w:link w:val="afffe"/>
    <w:semiHidden/>
    <w:unhideWhenUsed/>
    <w:rsid w:val="0088140F"/>
    <w:pPr>
      <w:spacing w:after="120"/>
      <w:ind w:left="283"/>
    </w:pPr>
  </w:style>
  <w:style w:type="character" w:customStyle="1" w:styleId="afffe">
    <w:name w:val="כניסה בגוף טקסט תו"/>
    <w:basedOn w:val="a2"/>
    <w:link w:val="afffd"/>
    <w:semiHidden/>
    <w:rsid w:val="0088140F"/>
    <w:rPr>
      <w:rFonts w:cs="David"/>
      <w:noProof w:val="0"/>
      <w:sz w:val="24"/>
      <w:szCs w:val="24"/>
    </w:rPr>
  </w:style>
  <w:style w:type="paragraph" w:styleId="2f">
    <w:name w:val="Body Text Indent 2"/>
    <w:basedOn w:val="a1"/>
    <w:link w:val="2f0"/>
    <w:semiHidden/>
    <w:unhideWhenUsed/>
    <w:rsid w:val="0088140F"/>
    <w:pPr>
      <w:spacing w:after="120" w:line="480" w:lineRule="auto"/>
      <w:ind w:left="283"/>
    </w:pPr>
  </w:style>
  <w:style w:type="character" w:customStyle="1" w:styleId="2f0">
    <w:name w:val="כניסה בגוף טקסט 2 תו"/>
    <w:basedOn w:val="a2"/>
    <w:link w:val="2f"/>
    <w:semiHidden/>
    <w:rsid w:val="0088140F"/>
    <w:rPr>
      <w:rFonts w:cs="David"/>
      <w:noProof w:val="0"/>
      <w:sz w:val="24"/>
      <w:szCs w:val="24"/>
    </w:rPr>
  </w:style>
  <w:style w:type="paragraph" w:styleId="3d">
    <w:name w:val="Body Text Indent 3"/>
    <w:basedOn w:val="a1"/>
    <w:link w:val="3e"/>
    <w:semiHidden/>
    <w:unhideWhenUsed/>
    <w:rsid w:val="0088140F"/>
    <w:pPr>
      <w:spacing w:after="120"/>
      <w:ind w:left="283"/>
    </w:pPr>
    <w:rPr>
      <w:sz w:val="16"/>
      <w:szCs w:val="16"/>
    </w:rPr>
  </w:style>
  <w:style w:type="character" w:customStyle="1" w:styleId="3e">
    <w:name w:val="כניסה בגוף טקסט 3 תו"/>
    <w:basedOn w:val="a2"/>
    <w:link w:val="3d"/>
    <w:semiHidden/>
    <w:rsid w:val="0088140F"/>
    <w:rPr>
      <w:rFonts w:cs="David"/>
      <w:noProof w:val="0"/>
      <w:sz w:val="16"/>
      <w:szCs w:val="16"/>
    </w:rPr>
  </w:style>
  <w:style w:type="paragraph" w:styleId="affff">
    <w:name w:val="Normal Indent"/>
    <w:basedOn w:val="a1"/>
    <w:semiHidden/>
    <w:unhideWhenUsed/>
    <w:rsid w:val="0088140F"/>
    <w:pPr>
      <w:ind w:left="720"/>
    </w:pPr>
  </w:style>
  <w:style w:type="paragraph" w:styleId="affff0">
    <w:name w:val="Body Text First Indent"/>
    <w:basedOn w:val="af3"/>
    <w:link w:val="affff1"/>
    <w:rsid w:val="0088140F"/>
    <w:pPr>
      <w:spacing w:after="0"/>
      <w:ind w:firstLine="360"/>
    </w:pPr>
  </w:style>
  <w:style w:type="character" w:customStyle="1" w:styleId="affff1">
    <w:name w:val="כניסת שורה ראשונה בגוף טקסט תו"/>
    <w:basedOn w:val="af4"/>
    <w:link w:val="affff0"/>
    <w:rsid w:val="0088140F"/>
    <w:rPr>
      <w:rFonts w:cs="David"/>
      <w:noProof w:val="0"/>
      <w:sz w:val="24"/>
      <w:szCs w:val="24"/>
    </w:rPr>
  </w:style>
  <w:style w:type="paragraph" w:styleId="2f1">
    <w:name w:val="Body Text First Indent 2"/>
    <w:basedOn w:val="afffd"/>
    <w:link w:val="2f2"/>
    <w:semiHidden/>
    <w:unhideWhenUsed/>
    <w:rsid w:val="0088140F"/>
    <w:pPr>
      <w:spacing w:after="0"/>
      <w:ind w:left="360" w:firstLine="360"/>
    </w:pPr>
  </w:style>
  <w:style w:type="character" w:customStyle="1" w:styleId="2f2">
    <w:name w:val="כניסת שורה ראשונה בגוף טקסט 2 תו"/>
    <w:basedOn w:val="afffe"/>
    <w:link w:val="2f1"/>
    <w:semiHidden/>
    <w:rsid w:val="0088140F"/>
    <w:rPr>
      <w:rFonts w:cs="David"/>
      <w:noProof w:val="0"/>
      <w:sz w:val="24"/>
      <w:szCs w:val="24"/>
    </w:rPr>
  </w:style>
  <w:style w:type="paragraph" w:styleId="HTML2">
    <w:name w:val="HTML Address"/>
    <w:basedOn w:val="a1"/>
    <w:link w:val="HTML3"/>
    <w:semiHidden/>
    <w:unhideWhenUsed/>
    <w:rsid w:val="0088140F"/>
    <w:rPr>
      <w:i/>
      <w:iCs/>
    </w:rPr>
  </w:style>
  <w:style w:type="character" w:customStyle="1" w:styleId="HTML3">
    <w:name w:val="כתובת HTML תו"/>
    <w:basedOn w:val="a2"/>
    <w:link w:val="HTML2"/>
    <w:semiHidden/>
    <w:rsid w:val="0088140F"/>
    <w:rPr>
      <w:rFonts w:cs="David"/>
      <w:i/>
      <w:iCs/>
      <w:noProof w:val="0"/>
      <w:sz w:val="24"/>
      <w:szCs w:val="24"/>
    </w:rPr>
  </w:style>
  <w:style w:type="paragraph" w:styleId="affff2">
    <w:name w:val="envelope address"/>
    <w:basedOn w:val="a1"/>
    <w:semiHidden/>
    <w:unhideWhenUsed/>
    <w:rsid w:val="0088140F"/>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88140F"/>
    <w:rPr>
      <w:rFonts w:asciiTheme="majorHAnsi" w:eastAsiaTheme="majorEastAsia" w:hAnsiTheme="majorHAnsi" w:cstheme="majorBidi"/>
      <w:sz w:val="20"/>
      <w:szCs w:val="20"/>
    </w:rPr>
  </w:style>
  <w:style w:type="paragraph" w:styleId="affff4">
    <w:name w:val="No Spacing"/>
    <w:uiPriority w:val="1"/>
    <w:qFormat/>
    <w:rsid w:val="0088140F"/>
    <w:pPr>
      <w:bidi/>
    </w:pPr>
    <w:rPr>
      <w:rFonts w:cs="David"/>
      <w:sz w:val="24"/>
      <w:szCs w:val="24"/>
    </w:rPr>
  </w:style>
  <w:style w:type="character" w:styleId="HTML4">
    <w:name w:val="HTML Typewriter"/>
    <w:basedOn w:val="a2"/>
    <w:semiHidden/>
    <w:unhideWhenUsed/>
    <w:rsid w:val="0088140F"/>
    <w:rPr>
      <w:rFonts w:ascii="Consolas" w:hAnsi="Consolas"/>
      <w:noProof w:val="0"/>
      <w:sz w:val="20"/>
      <w:szCs w:val="20"/>
    </w:rPr>
  </w:style>
  <w:style w:type="paragraph" w:styleId="affff5">
    <w:name w:val="Document Map"/>
    <w:basedOn w:val="a1"/>
    <w:link w:val="affff6"/>
    <w:semiHidden/>
    <w:unhideWhenUsed/>
    <w:rsid w:val="0088140F"/>
    <w:rPr>
      <w:rFonts w:ascii="Tahoma" w:hAnsi="Tahoma" w:cs="Tahoma"/>
      <w:sz w:val="16"/>
      <w:szCs w:val="16"/>
    </w:rPr>
  </w:style>
  <w:style w:type="character" w:customStyle="1" w:styleId="affff6">
    <w:name w:val="מפת מסמך תו"/>
    <w:basedOn w:val="a2"/>
    <w:link w:val="affff5"/>
    <w:semiHidden/>
    <w:rsid w:val="0088140F"/>
    <w:rPr>
      <w:rFonts w:ascii="Tahoma" w:hAnsi="Tahoma" w:cs="Tahoma"/>
      <w:noProof w:val="0"/>
      <w:sz w:val="16"/>
      <w:szCs w:val="16"/>
    </w:rPr>
  </w:style>
  <w:style w:type="character" w:styleId="HTML5">
    <w:name w:val="HTML Keyboard"/>
    <w:basedOn w:val="a2"/>
    <w:semiHidden/>
    <w:unhideWhenUsed/>
    <w:rsid w:val="0088140F"/>
    <w:rPr>
      <w:rFonts w:ascii="Consolas" w:hAnsi="Consolas"/>
      <w:noProof w:val="0"/>
      <w:sz w:val="20"/>
      <w:szCs w:val="20"/>
    </w:rPr>
  </w:style>
  <w:style w:type="paragraph" w:styleId="affff7">
    <w:name w:val="annotation subject"/>
    <w:basedOn w:val="a8"/>
    <w:next w:val="a8"/>
    <w:link w:val="affff8"/>
    <w:semiHidden/>
    <w:unhideWhenUsed/>
    <w:rsid w:val="0088140F"/>
    <w:rPr>
      <w:rFonts w:cs="David"/>
      <w:b/>
      <w:bCs/>
      <w:sz w:val="20"/>
      <w:szCs w:val="20"/>
    </w:rPr>
  </w:style>
  <w:style w:type="character" w:customStyle="1" w:styleId="a9">
    <w:name w:val="טקסט הערה תו"/>
    <w:basedOn w:val="a2"/>
    <w:link w:val="a8"/>
    <w:semiHidden/>
    <w:rsid w:val="0088140F"/>
    <w:rPr>
      <w:noProof w:val="0"/>
      <w:sz w:val="24"/>
      <w:szCs w:val="24"/>
    </w:rPr>
  </w:style>
  <w:style w:type="character" w:customStyle="1" w:styleId="affff8">
    <w:name w:val="נושא הערה תו"/>
    <w:basedOn w:val="a9"/>
    <w:link w:val="affff7"/>
    <w:semiHidden/>
    <w:rsid w:val="0088140F"/>
    <w:rPr>
      <w:rFonts w:cs="David"/>
      <w:b/>
      <w:bCs/>
      <w:noProof w:val="0"/>
      <w:sz w:val="24"/>
      <w:szCs w:val="24"/>
    </w:rPr>
  </w:style>
  <w:style w:type="table" w:styleId="affff9">
    <w:name w:val="Table Theme"/>
    <w:basedOn w:val="a3"/>
    <w:semiHidden/>
    <w:unhideWhenUsed/>
    <w:rsid w:val="0088140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88140F"/>
    <w:pPr>
      <w:ind w:left="4252"/>
    </w:pPr>
  </w:style>
  <w:style w:type="character" w:customStyle="1" w:styleId="affffb">
    <w:name w:val="סיום תו"/>
    <w:basedOn w:val="a2"/>
    <w:link w:val="affffa"/>
    <w:semiHidden/>
    <w:rsid w:val="0088140F"/>
    <w:rPr>
      <w:rFonts w:cs="David"/>
      <w:noProof w:val="0"/>
      <w:sz w:val="24"/>
      <w:szCs w:val="24"/>
    </w:rPr>
  </w:style>
  <w:style w:type="table" w:styleId="1b">
    <w:name w:val="Table Columns 1"/>
    <w:basedOn w:val="a3"/>
    <w:semiHidden/>
    <w:unhideWhenUsed/>
    <w:rsid w:val="0088140F"/>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88140F"/>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88140F"/>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88140F"/>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88140F"/>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88140F"/>
    <w:pPr>
      <w:ind w:left="720"/>
      <w:contextualSpacing/>
    </w:pPr>
  </w:style>
  <w:style w:type="paragraph" w:styleId="affffd">
    <w:name w:val="Quote"/>
    <w:basedOn w:val="a1"/>
    <w:next w:val="a1"/>
    <w:link w:val="affffe"/>
    <w:uiPriority w:val="29"/>
    <w:qFormat/>
    <w:rsid w:val="0088140F"/>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88140F"/>
    <w:rPr>
      <w:rFonts w:cs="David"/>
      <w:i/>
      <w:iCs/>
      <w:noProof w:val="0"/>
      <w:color w:val="404040" w:themeColor="text1" w:themeTint="BF"/>
      <w:sz w:val="24"/>
      <w:szCs w:val="24"/>
    </w:rPr>
  </w:style>
  <w:style w:type="paragraph" w:styleId="afffff">
    <w:name w:val="Intense Quote"/>
    <w:basedOn w:val="a1"/>
    <w:next w:val="a1"/>
    <w:link w:val="afffff0"/>
    <w:uiPriority w:val="30"/>
    <w:qFormat/>
    <w:rsid w:val="008814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88140F"/>
    <w:rPr>
      <w:rFonts w:cs="David"/>
      <w:i/>
      <w:iCs/>
      <w:noProof w:val="0"/>
      <w:color w:val="4F81BD" w:themeColor="accent1"/>
      <w:sz w:val="24"/>
      <w:szCs w:val="24"/>
    </w:rPr>
  </w:style>
  <w:style w:type="character" w:styleId="HTML6">
    <w:name w:val="HTML Acronym"/>
    <w:basedOn w:val="a2"/>
    <w:semiHidden/>
    <w:unhideWhenUsed/>
    <w:rsid w:val="0088140F"/>
    <w:rPr>
      <w:noProof w:val="0"/>
    </w:rPr>
  </w:style>
  <w:style w:type="paragraph" w:styleId="afffff1">
    <w:name w:val="List"/>
    <w:basedOn w:val="a1"/>
    <w:semiHidden/>
    <w:unhideWhenUsed/>
    <w:rsid w:val="0088140F"/>
    <w:pPr>
      <w:ind w:left="283" w:hanging="283"/>
      <w:contextualSpacing/>
    </w:pPr>
  </w:style>
  <w:style w:type="paragraph" w:styleId="2f4">
    <w:name w:val="List 2"/>
    <w:basedOn w:val="a1"/>
    <w:semiHidden/>
    <w:unhideWhenUsed/>
    <w:rsid w:val="0088140F"/>
    <w:pPr>
      <w:ind w:left="566" w:hanging="283"/>
      <w:contextualSpacing/>
    </w:pPr>
  </w:style>
  <w:style w:type="paragraph" w:styleId="3f0">
    <w:name w:val="List 3"/>
    <w:basedOn w:val="a1"/>
    <w:semiHidden/>
    <w:unhideWhenUsed/>
    <w:rsid w:val="0088140F"/>
    <w:pPr>
      <w:ind w:left="849" w:hanging="283"/>
      <w:contextualSpacing/>
    </w:pPr>
  </w:style>
  <w:style w:type="paragraph" w:styleId="48">
    <w:name w:val="List 4"/>
    <w:basedOn w:val="a1"/>
    <w:rsid w:val="0088140F"/>
    <w:pPr>
      <w:ind w:left="1132" w:hanging="283"/>
      <w:contextualSpacing/>
    </w:pPr>
  </w:style>
  <w:style w:type="paragraph" w:styleId="58">
    <w:name w:val="List 5"/>
    <w:basedOn w:val="a1"/>
    <w:rsid w:val="0088140F"/>
    <w:pPr>
      <w:ind w:left="1415" w:hanging="283"/>
      <w:contextualSpacing/>
    </w:pPr>
  </w:style>
  <w:style w:type="table" w:styleId="afffff2">
    <w:name w:val="Light List"/>
    <w:basedOn w:val="a3"/>
    <w:uiPriority w:val="61"/>
    <w:semiHidden/>
    <w:unhideWhenUsed/>
    <w:rsid w:val="008814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88140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88140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88140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88140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88140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88140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88140F"/>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88140F"/>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88140F"/>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88140F"/>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88140F"/>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88140F"/>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88140F"/>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88140F"/>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8814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88140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88140F"/>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88140F"/>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88140F"/>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88140F"/>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88140F"/>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8814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88140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88140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88140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88140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88140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88140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88140F"/>
    <w:pPr>
      <w:numPr>
        <w:numId w:val="1"/>
      </w:numPr>
      <w:contextualSpacing/>
    </w:pPr>
  </w:style>
  <w:style w:type="paragraph" w:styleId="2">
    <w:name w:val="List Number 2"/>
    <w:basedOn w:val="a1"/>
    <w:semiHidden/>
    <w:unhideWhenUsed/>
    <w:rsid w:val="0088140F"/>
    <w:pPr>
      <w:numPr>
        <w:numId w:val="2"/>
      </w:numPr>
      <w:contextualSpacing/>
    </w:pPr>
  </w:style>
  <w:style w:type="paragraph" w:styleId="3">
    <w:name w:val="List Number 3"/>
    <w:basedOn w:val="a1"/>
    <w:semiHidden/>
    <w:unhideWhenUsed/>
    <w:rsid w:val="0088140F"/>
    <w:pPr>
      <w:numPr>
        <w:numId w:val="3"/>
      </w:numPr>
      <w:contextualSpacing/>
    </w:pPr>
  </w:style>
  <w:style w:type="paragraph" w:styleId="4">
    <w:name w:val="List Number 4"/>
    <w:basedOn w:val="a1"/>
    <w:semiHidden/>
    <w:unhideWhenUsed/>
    <w:rsid w:val="0088140F"/>
    <w:pPr>
      <w:numPr>
        <w:numId w:val="4"/>
      </w:numPr>
      <w:contextualSpacing/>
    </w:pPr>
  </w:style>
  <w:style w:type="paragraph" w:styleId="5">
    <w:name w:val="List Number 5"/>
    <w:basedOn w:val="a1"/>
    <w:semiHidden/>
    <w:unhideWhenUsed/>
    <w:rsid w:val="0088140F"/>
    <w:pPr>
      <w:numPr>
        <w:numId w:val="5"/>
      </w:numPr>
      <w:contextualSpacing/>
    </w:pPr>
  </w:style>
  <w:style w:type="paragraph" w:styleId="a0">
    <w:name w:val="List Bullet"/>
    <w:basedOn w:val="a1"/>
    <w:semiHidden/>
    <w:unhideWhenUsed/>
    <w:rsid w:val="0088140F"/>
    <w:pPr>
      <w:numPr>
        <w:numId w:val="6"/>
      </w:numPr>
      <w:contextualSpacing/>
    </w:pPr>
  </w:style>
  <w:style w:type="paragraph" w:styleId="20">
    <w:name w:val="List Bullet 2"/>
    <w:basedOn w:val="a1"/>
    <w:semiHidden/>
    <w:unhideWhenUsed/>
    <w:rsid w:val="0088140F"/>
    <w:pPr>
      <w:numPr>
        <w:numId w:val="7"/>
      </w:numPr>
      <w:contextualSpacing/>
    </w:pPr>
  </w:style>
  <w:style w:type="paragraph" w:styleId="30">
    <w:name w:val="List Bullet 3"/>
    <w:basedOn w:val="a1"/>
    <w:semiHidden/>
    <w:unhideWhenUsed/>
    <w:rsid w:val="0088140F"/>
    <w:pPr>
      <w:numPr>
        <w:numId w:val="8"/>
      </w:numPr>
      <w:contextualSpacing/>
    </w:pPr>
  </w:style>
  <w:style w:type="paragraph" w:styleId="40">
    <w:name w:val="List Bullet 4"/>
    <w:basedOn w:val="a1"/>
    <w:semiHidden/>
    <w:unhideWhenUsed/>
    <w:rsid w:val="0088140F"/>
    <w:pPr>
      <w:numPr>
        <w:numId w:val="9"/>
      </w:numPr>
      <w:contextualSpacing/>
    </w:pPr>
  </w:style>
  <w:style w:type="paragraph" w:styleId="50">
    <w:name w:val="List Bullet 5"/>
    <w:basedOn w:val="a1"/>
    <w:semiHidden/>
    <w:unhideWhenUsed/>
    <w:rsid w:val="0088140F"/>
    <w:pPr>
      <w:numPr>
        <w:numId w:val="10"/>
      </w:numPr>
      <w:contextualSpacing/>
    </w:pPr>
  </w:style>
  <w:style w:type="table" w:styleId="afffff4">
    <w:name w:val="Colorful List"/>
    <w:basedOn w:val="a3"/>
    <w:uiPriority w:val="72"/>
    <w:semiHidden/>
    <w:unhideWhenUsed/>
    <w:rsid w:val="008814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88140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88140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88140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88140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88140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88140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88140F"/>
  </w:style>
  <w:style w:type="paragraph" w:styleId="afffff6">
    <w:name w:val="table of authorities"/>
    <w:basedOn w:val="a1"/>
    <w:next w:val="a1"/>
    <w:semiHidden/>
    <w:unhideWhenUsed/>
    <w:rsid w:val="0088140F"/>
    <w:pPr>
      <w:ind w:left="240" w:hanging="240"/>
    </w:pPr>
  </w:style>
  <w:style w:type="table" w:styleId="afffff7">
    <w:name w:val="Light Grid"/>
    <w:basedOn w:val="a3"/>
    <w:uiPriority w:val="62"/>
    <w:semiHidden/>
    <w:unhideWhenUsed/>
    <w:rsid w:val="008814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88140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88140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88140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88140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88140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88140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88140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8814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88140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88140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88140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88140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88140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88140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8814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8814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8814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8814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8814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8814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8814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88140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88140F"/>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88140F"/>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88140F"/>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88140F"/>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88140F"/>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88140F"/>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88140F"/>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8814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8814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88140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88140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88140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88140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88140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88140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88140F"/>
  </w:style>
  <w:style w:type="character" w:customStyle="1" w:styleId="afffffb">
    <w:name w:val="תאריך תו"/>
    <w:basedOn w:val="a2"/>
    <w:link w:val="afffffa"/>
    <w:rsid w:val="0088140F"/>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999487">
      <w:bodyDiv w:val="1"/>
      <w:marLeft w:val="0"/>
      <w:marRight w:val="0"/>
      <w:marTop w:val="0"/>
      <w:marBottom w:val="0"/>
      <w:divBdr>
        <w:top w:val="none" w:sz="0" w:space="0" w:color="auto"/>
        <w:left w:val="none" w:sz="0" w:space="0" w:color="auto"/>
        <w:bottom w:val="none" w:sz="0" w:space="0" w:color="auto"/>
        <w:right w:val="none" w:sz="0" w:space="0" w:color="auto"/>
      </w:divBdr>
    </w:div>
    <w:div w:id="476991134">
      <w:bodyDiv w:val="1"/>
      <w:marLeft w:val="0"/>
      <w:marRight w:val="0"/>
      <w:marTop w:val="0"/>
      <w:marBottom w:val="0"/>
      <w:divBdr>
        <w:top w:val="none" w:sz="0" w:space="0" w:color="auto"/>
        <w:left w:val="none" w:sz="0" w:space="0" w:color="auto"/>
        <w:bottom w:val="none" w:sz="0" w:space="0" w:color="auto"/>
        <w:right w:val="none" w:sz="0" w:space="0" w:color="auto"/>
      </w:divBdr>
    </w:div>
    <w:div w:id="69287874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125553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nevo.co.il/law/19639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17ED0" w:rsidP="00A17ED0">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0C5C9628724344D49B3F37BB08DD9FFC"/>
        <w:category>
          <w:name w:val="כללי"/>
          <w:gallery w:val="placeholder"/>
        </w:category>
        <w:types>
          <w:type w:val="bbPlcHdr"/>
        </w:types>
        <w:behaviors>
          <w:behavior w:val="content"/>
        </w:behaviors>
        <w:guid w:val="{FF2A00F2-61AC-4F3A-88EE-32BE56AAA364}"/>
      </w:docPartPr>
      <w:docPartBody>
        <w:p w:rsidR="005E7DEA" w:rsidRDefault="00E65D18" w:rsidP="00E65D18">
          <w:pPr>
            <w:pStyle w:val="0C5C9628724344D49B3F37BB08DD9FFC"/>
          </w:pPr>
          <w:r>
            <w:rPr>
              <w:rFonts w:ascii="Arial" w:hAnsi="Arial"/>
              <w:b/>
              <w:bCs/>
              <w:sz w:val="26"/>
              <w:szCs w:val="26"/>
              <w:rtl/>
            </w:rPr>
            <w:t>שם צד א' ללא שם של חסוי</w:t>
          </w:r>
        </w:p>
      </w:docPartBody>
    </w:docPart>
    <w:docPart>
      <w:docPartPr>
        <w:name w:val="72641E7B6D15465DBEF2707BFF971BD7"/>
        <w:category>
          <w:name w:val="כללי"/>
          <w:gallery w:val="placeholder"/>
        </w:category>
        <w:types>
          <w:type w:val="bbPlcHdr"/>
        </w:types>
        <w:behaviors>
          <w:behavior w:val="content"/>
        </w:behaviors>
        <w:guid w:val="{33A2BF2C-F537-4ACF-A40E-D8DCAFC90A32}"/>
      </w:docPartPr>
      <w:docPartBody>
        <w:p w:rsidR="005E7DEA" w:rsidRDefault="00E65D18" w:rsidP="00E65D18">
          <w:pPr>
            <w:pStyle w:val="72641E7B6D15465DBEF2707BFF971BD7"/>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5E7DEA"/>
    <w:rsid w:val="00673B50"/>
    <w:rsid w:val="00793995"/>
    <w:rsid w:val="007C6F98"/>
    <w:rsid w:val="007E254A"/>
    <w:rsid w:val="008B4366"/>
    <w:rsid w:val="009133C7"/>
    <w:rsid w:val="009178E4"/>
    <w:rsid w:val="00961B27"/>
    <w:rsid w:val="009A36E7"/>
    <w:rsid w:val="00A17ED0"/>
    <w:rsid w:val="00AA7CE3"/>
    <w:rsid w:val="00B50DB2"/>
    <w:rsid w:val="00B72BC2"/>
    <w:rsid w:val="00B91FA3"/>
    <w:rsid w:val="00BD69D1"/>
    <w:rsid w:val="00BE6557"/>
    <w:rsid w:val="00C96C06"/>
    <w:rsid w:val="00D24521"/>
    <w:rsid w:val="00D6580E"/>
    <w:rsid w:val="00E31BF6"/>
    <w:rsid w:val="00E65D18"/>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7ED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17ED0"/>
    <w:pPr>
      <w:bidi/>
      <w:spacing w:after="0" w:line="240" w:lineRule="auto"/>
    </w:pPr>
    <w:rPr>
      <w:rFonts w:ascii="Times New Roman" w:eastAsia="Times New Roman" w:hAnsi="Times New Roman" w:cs="David"/>
      <w:noProof/>
      <w:sz w:val="24"/>
      <w:szCs w:val="24"/>
    </w:rPr>
  </w:style>
  <w:style w:type="paragraph" w:customStyle="1" w:styleId="2783AA54A99349DA80AFB76145B2CF89">
    <w:name w:val="2783AA54A99349DA80AFB76145B2CF89"/>
    <w:rsid w:val="00A17ED0"/>
    <w:pPr>
      <w:bidi/>
      <w:spacing w:after="160" w:line="259" w:lineRule="auto"/>
    </w:pPr>
  </w:style>
  <w:style w:type="paragraph" w:customStyle="1" w:styleId="F52B5875C3B946B9816FF1A7E5E24F5B">
    <w:name w:val="F52B5875C3B946B9816FF1A7E5E24F5B"/>
    <w:rsid w:val="00A17ED0"/>
    <w:pPr>
      <w:bidi/>
      <w:spacing w:after="160" w:line="259" w:lineRule="auto"/>
    </w:pPr>
  </w:style>
  <w:style w:type="paragraph" w:customStyle="1" w:styleId="893B5AAE48474739B86C02DC10246715">
    <w:name w:val="893B5AAE48474739B86C02DC10246715"/>
    <w:rsid w:val="00A17ED0"/>
    <w:pPr>
      <w:bidi/>
      <w:spacing w:after="160" w:line="259" w:lineRule="auto"/>
    </w:pPr>
  </w:style>
  <w:style w:type="paragraph" w:customStyle="1" w:styleId="0C5C9628724344D49B3F37BB08DD9FFC">
    <w:name w:val="0C5C9628724344D49B3F37BB08DD9FFC"/>
    <w:rsid w:val="00E65D18"/>
    <w:pPr>
      <w:bidi/>
      <w:spacing w:after="160" w:line="259" w:lineRule="auto"/>
    </w:pPr>
  </w:style>
  <w:style w:type="paragraph" w:customStyle="1" w:styleId="72641E7B6D15465DBEF2707BFF971BD7">
    <w:name w:val="72641E7B6D15465DBEF2707BFF971BD7"/>
    <w:rsid w:val="00E65D1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ecisionTemplateDS>
  <dt_Decision>
    <DecisionID>0</DecisionID>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סיון טל יחזקאל</FullName>
        <FirstName>סיון</FirstName>
        <LastName>טל יחזקאל</LastName>
        <PartyPropertyName/>
        <AuthenticationTypeAndNumber>מ.ר. 52872</AuthenticationTypeAndNumber>
        <RepresentatedOrRepresentativesNames>משה כהן</RepresentatedOrRepresentativesNames>
        <RepresentatedOrRepresentativesCount>1</RepresentatedOrRepresentativesCount>
        <InvitedBy/>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260648022</CasePartyID>
        <PartyTypeID>2</PartyTypeID>
        <ActivityStatusID>1</ActivityStatusID>
        <PartyAliasID>22</PartyAliasID>
        <PartyAliasName>בא כוח מבקשים</PartyAliasName>
        <OrdinalNumber>1</OrdinalNumber>
        <LegalEntityID>33097816</LegalEntityID>
        <CaseLegalEntityID>125969943</CaseLegalEntityID>
        <AuthenticationTypeID>4</AuthenticationTypeID>
        <AuthenticationTypeName>מ.ר.</AuthenticationTypeName>
        <LegalEntityNumber>52872</LegalEntityNumber>
        <IsMainPartyType>true</IsMainPartyType>
        <CaseDisplayIdentifier>37679-09-23</CaseDisplayIdentifier>
        <CaseTypeID>10074</CaseTypeID>
        <CaseTypeName>רשות ערעור משפחה (רמ"ש)</CaseTypeName>
        <CaseName>כהן נ' כהן</CaseName>
        <FullAddress>מעלה השחרור 23 ג' חיפה </FullAddress>
        <EmailAddress>sty.adv@gmail.com</EmailAddress>
        <MotionID>0</MotionID>
        <CasePleaID>0</CasePleaID>
        <LinkedCaseID>0</LinkedCaseID>
        <PartyID>1</PartyID>
        <CasePartyCategoryID>2</CasePartyCategoryID>
        <LegalEntityAddressID>79629264</LegalEntityAddressID>
        <LegalEntityEmailAddressID>67884951</LegalEntityEmailAddressID>
        <PleaTypeID>5</PleaTypeID>
        <LawyerOfficeName>משרד עו"ד סיון טל יחזקאל</LawyerOfficeName>
        <LawyerOfficeID>33097817</LawyerOfficeID>
        <GroupPartyAlias/>
        <IsConverted>false</IsConverted>
        <LegalEntityNameID>34869784</LegalEntityNameID>
        <RepresentatedNamesOfAssistant/>
        <LegalEntityTypeID>4</LegalEntityTypeID>
        <IsVerdictExists>false</IsVerdictExists>
        <IsAsirAzir>false</IsAsirAzir>
        <IsPublicationProhibited>false</IsPublicationProhibited>
        <PublicationProhibitedFullName>סיון טל יחזקאל</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משה כהן</FullName>
        <FirstName>משה</FirstName>
        <LastName>כהן</LastName>
        <PartyPropertyName/>
        <AuthenticationTypeAndNumber>ת"ז 012034674</AuthenticationTypeAndNumber>
        <RepresentatedOrRepresentativesNames>סיון טל יחזקאל</RepresentatedOrRepresentativesNames>
        <RepresentatedOrRepresentativesCount>1</RepresentatedOrRepresentativesCount>
        <InvitedBy/>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260648020</CasePartyID>
        <PartyTypeID>1</PartyTypeID>
        <ActivityStatusID>1</ActivityStatusID>
        <PartyAliasID>3</PartyAliasID>
        <PartyAliasName>מבקש</PartyAliasName>
        <OrdinalNumber>1</OrdinalNumber>
        <LegalEntityID>73335095</LegalEntityID>
        <CaseLegalEntityID>125969941</CaseLegalEntityID>
        <AuthenticationTypeID>1</AuthenticationTypeID>
        <AuthenticationTypeName>ת"ז</AuthenticationTypeName>
        <LegalEntityNumber>012034674</LegalEntityNumber>
        <IsMainPartyType>true</IsMainPartyType>
        <CaseDisplayIdentifier>37679-09-23</CaseDisplayIdentifier>
        <CaseTypeID>10074</CaseTypeID>
        <CaseTypeName>רשות ערעור משפחה (רמ"ש)</CaseTypeName>
        <CaseName>כהן נ' כהן</CaseName>
        <FullAddress>מירון 86 כרמיאל </FullAddress>
        <EmailAddress>mosheco168@gmail.com</EmailAddress>
        <MotionID>0</MotionID>
        <CasePleaID>0</CasePleaID>
        <FatherName>ששון</FatherName>
        <LinkedCaseID>0</LinkedCaseID>
        <PartyID>1</PartyID>
        <CasePartyCategoryID>2</CasePartyCategoryID>
        <LegalEntityAddressID>85643495</LegalEntityAddressID>
        <LegalEntityEmailAddressID>68152184</LegalEntityEmailAddressID>
        <PleaTypeID>5</PleaTypeID>
        <GroupPartyAlias>מבקשים</GroupPartyAlias>
        <IsConverted>false</IsConverted>
        <LegalEntityRegisteredNameID>4261485</LegalEntityRegisteredNameID>
        <LegalEntityNameID>95479588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כהן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אטרי כהן</FullName>
        <FirstName>אטרי</FirstName>
        <LastName>כהן</LastName>
        <PartyPropertyName/>
        <AuthenticationTypeAndNumber>ת"ז 310785654</AuthenticationTypeAndNumber>
        <RepresentatedOrRepresentativesNames>אריה אביאב</RepresentatedOrRepresentativesNames>
        <RepresentatedOrRepresentativesCount>1</RepresentatedOrRepresentativesCount>
        <InvitedBy/>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260648021</CasePartyID>
        <PartyTypeID>1</PartyTypeID>
        <ActivityStatusID>1</ActivityStatusID>
        <PartyAliasID>4</PartyAliasID>
        <PartyAliasName>משיב</PartyAliasName>
        <OrdinalNumber>1</OrdinalNumber>
        <LegalEntityID>70147578</LegalEntityID>
        <CaseLegalEntityID>125969942</CaseLegalEntityID>
        <AuthenticationTypeID>1</AuthenticationTypeID>
        <AuthenticationTypeName>ת"ז</AuthenticationTypeName>
        <LegalEntityNumber>310785654</LegalEntityNumber>
        <IsMainPartyType>true</IsMainPartyType>
        <CaseDisplayIdentifier>37679-09-23</CaseDisplayIdentifier>
        <CaseTypeID>10074</CaseTypeID>
        <CaseTypeName>רשות ערעור משפחה (רמ"ש)</CaseTypeName>
        <CaseName>כהן נ' כהן</CaseName>
        <FullAddress>דקל 5 כרמיאל </FullAddress>
        <MotionID>0</MotionID>
        <CasePleaID>0</CasePleaID>
        <FatherName>סרגיי</FatherName>
        <LinkedCaseID>0</LinkedCaseID>
        <PartyID>2</PartyID>
        <CasePartyCategoryID>2</CasePartyCategoryID>
        <LegalEntityAddressID>88417903</LegalEntityAddressID>
        <PleaTypeID>5</PleaTypeID>
        <GroupPartyAlias>משיבים</GroupPartyAlias>
        <IsConverted>false</IsConverted>
        <LegalEntityRegisteredNameID>9537615</LegalEntityRegisteredNameID>
        <LegalEntityNameID>95479593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אטרי כהן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אריה אביאב</FullName>
        <FirstName>אריה</FirstName>
        <LastName>אביאב</LastName>
        <PartyPropertyName/>
        <AuthenticationTypeAndNumber>מ.ר. 18310</AuthenticationTypeAndNumber>
        <RepresentatedOrRepresentativesNames>אטרי כהן</RepresentatedOrRepresentativesNames>
        <RepresentatedOrRepresentativesCount>1</RepresentatedOrRepresentativesCount>
        <InvitedBy/>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260648023</CasePartyID>
        <PartyTypeID>2</PartyTypeID>
        <ActivityStatusID>1</ActivityStatusID>
        <PartyAliasID>23</PartyAliasID>
        <PartyAliasName>בא כוח משיבים</PartyAliasName>
        <OrdinalNumber>1</OrdinalNumber>
        <LegalEntityID>382854</LegalEntityID>
        <CaseLegalEntityID>125969944</CaseLegalEntityID>
        <AuthenticationTypeID>4</AuthenticationTypeID>
        <AuthenticationTypeName>מ.ר.</AuthenticationTypeName>
        <LegalEntityNumber>18310</LegalEntityNumber>
        <IsMainPartyType>true</IsMainPartyType>
        <CaseDisplayIdentifier>37679-09-23</CaseDisplayIdentifier>
        <CaseTypeID>10074</CaseTypeID>
        <CaseTypeName>רשות ערעור משפחה (רמ"ש)</CaseTypeName>
        <CaseName>כהן נ' כהן</CaseName>
        <FullAddress>הנפח 34 כרמיאל ת.ד 153</FullAddress>
        <MotionID>0</MotionID>
        <CasePleaID>0</CasePleaID>
        <BirthDate>1962-02-22T00:00:00+02:00</BirthDate>
        <FatherName>חיים</FatherName>
        <LinkedCaseID>0</LinkedCaseID>
        <PartyID>2</PartyID>
        <CasePartyCategoryID>2</CasePartyCategoryID>
        <LegalEntityAddressID>73541534</LegalEntityAddressID>
        <PleaTypeID>5</PleaTypeID>
        <LawyerOfficeName>משר עו"ד: אריה אביאב</LawyerOfficeName>
        <LawyerOfficeID>70036686</LawyerOfficeID>
        <GroupPartyAlias/>
        <IsConverted>false</IsConverted>
        <LegalEntityNameID>3838</LegalEntityNameID>
        <RepresentatedNamesOfAssistant/>
        <LegalEntityTypeID>4</LegalEntityTypeID>
        <IsVerdictExists>false</IsVerdictExists>
        <IsAsirAzir>false</IsAsirAzir>
        <IsPublicationProhibited>false</IsPublicationProhibited>
        <PublicationProhibitedFullName>אריה אביאב</PublicationProhibitedFullName>
      </CaseParties>
    </CasePartiesSelectionDS>
    <DecisionName>החלטה  שניתנה ע"י  אריה נאמן</DecisionName>
    <CourtDisplayName>בית המשפט המחוזי בחיפה בשבתו כבית-משפט לערעורים אזרחיים</CourtDisplayName>
    <IsCaseJudgePanel>false</IsCaseJudgePanel>
    <DecisionSignatureDate>2023-11-06T12:39:05.7991289+02:00</DecisionSignatureDate>
    <OpenCaseDate>2023-09-18T10:56:00+03:00</OpenCaseDate>
    <CaseFeeSum>0.000</CaseFeeSum>
    <DecisionTypeID>1</DecisionTypeID>
    <DecisionSignatureUserName>אריה נאמן</DecisionSignatureUserName>
    <DecisionSignatureDateHebrew>2023-11-06T12:39:05.7991289+02:00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כהן נ' כהן</CaseName>
    <DecisionNumberInCase>5</DecisionNumberInCase>
  </dt_Decision>
  <dt_DecisionCase>
    <DecisionID>0</DecisionID>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סיון טל יחזקאל</FullName>
        <FirstName>סיון</FirstName>
        <LastName>טל יחזקאל</LastName>
        <PartyPropertyName/>
        <AuthenticationTypeAndNumber>מ.ר. 52872</AuthenticationTypeAndNumber>
        <RepresentatedOrRepresentativesNames>משה כהן</RepresentatedOrRepresentativesNames>
        <RepresentatedOrRepresentativesCount>1</RepresentatedOrRepresentativesCount>
        <InvitedBy/>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260648022</CasePartyID>
        <PartyTypeID>2</PartyTypeID>
        <ActivityStatusID>1</ActivityStatusID>
        <PartyAliasID>22</PartyAliasID>
        <PartyAliasName>בא כוח מבקשים</PartyAliasName>
        <OrdinalNumber>1</OrdinalNumber>
        <LegalEntityID>33097816</LegalEntityID>
        <CaseLegalEntityID>125969943</CaseLegalEntityID>
        <AuthenticationTypeID>4</AuthenticationTypeID>
        <AuthenticationTypeName>מ.ר.</AuthenticationTypeName>
        <LegalEntityNumber>52872</LegalEntityNumber>
        <IsMainPartyType>true</IsMainPartyType>
        <CaseDisplayIdentifier>37679-09-23</CaseDisplayIdentifier>
        <CaseTypeID>10074</CaseTypeID>
        <CaseTypeName>רשות ערעור משפחה (רמ"ש)</CaseTypeName>
        <CaseName>כהן נ' כהן</CaseName>
        <FullAddress>מעלה השחרור 23 ג' חיפה </FullAddress>
        <EmailAddress>sty.adv@gmail.com</EmailAddress>
        <MotionID>0</MotionID>
        <CasePleaID>0</CasePleaID>
        <LinkedCaseID>0</LinkedCaseID>
        <PartyID>1</PartyID>
        <CasePartyCategoryID>2</CasePartyCategoryID>
        <LegalEntityAddressID>79629264</LegalEntityAddressID>
        <LegalEntityEmailAddressID>67884951</LegalEntityEmailAddressID>
        <PleaTypeID>5</PleaTypeID>
        <LawyerOfficeName>משרד עו"ד סיון טל יחזקאל</LawyerOfficeName>
        <LawyerOfficeID>33097817</LawyerOfficeID>
        <GroupPartyAlias/>
        <IsConverted>false</IsConverted>
        <LegalEntityNameID>34869784</LegalEntityNameID>
        <RepresentatedNamesOfAssistant/>
        <LegalEntityTypeID>4</LegalEntityTypeID>
        <IsVerdictExists>false</IsVerdictExists>
        <IsAsirAzir>false</IsAsirAzir>
        <IsPublicationProhibited>false</IsPublicationProhibited>
        <PublicationProhibitedFullName>סיון טל יחזקאל</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משה כהן</FullName>
        <FirstName>משה</FirstName>
        <LastName>כהן</LastName>
        <PartyPropertyName/>
        <AuthenticationTypeAndNumber>ת"ז 012034674</AuthenticationTypeAndNumber>
        <RepresentatedOrRepresentativesNames>סיון טל יחזקאל</RepresentatedOrRepresentativesNames>
        <RepresentatedOrRepresentativesCount>1</RepresentatedOrRepresentativesCount>
        <InvitedBy/>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260648020</CasePartyID>
        <PartyTypeID>1</PartyTypeID>
        <ActivityStatusID>1</ActivityStatusID>
        <PartyAliasID>3</PartyAliasID>
        <PartyAliasName>מבקש</PartyAliasName>
        <OrdinalNumber>1</OrdinalNumber>
        <LegalEntityID>73335095</LegalEntityID>
        <CaseLegalEntityID>125969941</CaseLegalEntityID>
        <AuthenticationTypeID>1</AuthenticationTypeID>
        <AuthenticationTypeName>ת"ז</AuthenticationTypeName>
        <LegalEntityNumber>012034674</LegalEntityNumber>
        <IsMainPartyType>true</IsMainPartyType>
        <CaseDisplayIdentifier>37679-09-23</CaseDisplayIdentifier>
        <CaseTypeID>10074</CaseTypeID>
        <CaseTypeName>רשות ערעור משפחה (רמ"ש)</CaseTypeName>
        <CaseName>כהן נ' כהן</CaseName>
        <FullAddress>מירון 86 כרמיאל </FullAddress>
        <EmailAddress>mosheco168@gmail.com</EmailAddress>
        <MotionID>0</MotionID>
        <CasePleaID>0</CasePleaID>
        <FatherName>ששון</FatherName>
        <LinkedCaseID>0</LinkedCaseID>
        <PartyID>1</PartyID>
        <CasePartyCategoryID>2</CasePartyCategoryID>
        <LegalEntityAddressID>85643495</LegalEntityAddressID>
        <LegalEntityEmailAddressID>68152184</LegalEntityEmailAddressID>
        <PleaTypeID>5</PleaTypeID>
        <GroupPartyAlias>מבקשים</GroupPartyAlias>
        <IsConverted>false</IsConverted>
        <LegalEntityRegisteredNameID>4261485</LegalEntityRegisteredNameID>
        <LegalEntityNameID>95479588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כהן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אטרי כהן</FullName>
        <FirstName>אטרי</FirstName>
        <LastName>כהן</LastName>
        <PartyPropertyName/>
        <AuthenticationTypeAndNumber>ת"ז 310785654</AuthenticationTypeAndNumber>
        <RepresentatedOrRepresentativesNames>אריה אביאב</RepresentatedOrRepresentativesNames>
        <RepresentatedOrRepresentativesCount>1</RepresentatedOrRepresentativesCount>
        <InvitedBy/>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260648021</CasePartyID>
        <PartyTypeID>1</PartyTypeID>
        <ActivityStatusID>1</ActivityStatusID>
        <PartyAliasID>4</PartyAliasID>
        <PartyAliasName>משיב</PartyAliasName>
        <OrdinalNumber>1</OrdinalNumber>
        <LegalEntityID>70147578</LegalEntityID>
        <CaseLegalEntityID>125969942</CaseLegalEntityID>
        <AuthenticationTypeID>1</AuthenticationTypeID>
        <AuthenticationTypeName>ת"ז</AuthenticationTypeName>
        <LegalEntityNumber>310785654</LegalEntityNumber>
        <IsMainPartyType>true</IsMainPartyType>
        <CaseDisplayIdentifier>37679-09-23</CaseDisplayIdentifier>
        <CaseTypeID>10074</CaseTypeID>
        <CaseTypeName>רשות ערעור משפחה (רמ"ש)</CaseTypeName>
        <CaseName>כהן נ' כהן</CaseName>
        <FullAddress>דקל 5 כרמיאל </FullAddress>
        <MotionID>0</MotionID>
        <CasePleaID>0</CasePleaID>
        <FatherName>סרגיי</FatherName>
        <LinkedCaseID>0</LinkedCaseID>
        <PartyID>2</PartyID>
        <CasePartyCategoryID>2</CasePartyCategoryID>
        <LegalEntityAddressID>88417903</LegalEntityAddressID>
        <PleaTypeID>5</PleaTypeID>
        <GroupPartyAlias>משיבים</GroupPartyAlias>
        <IsConverted>false</IsConverted>
        <LegalEntityRegisteredNameID>9537615</LegalEntityRegisteredNameID>
        <LegalEntityNameID>95479593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אטרי כהן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אריה אביאב</FullName>
        <FirstName>אריה</FirstName>
        <LastName>אביאב</LastName>
        <PartyPropertyName/>
        <AuthenticationTypeAndNumber>מ.ר. 18310</AuthenticationTypeAndNumber>
        <RepresentatedOrRepresentativesNames>אטרי כהן</RepresentatedOrRepresentativesNames>
        <RepresentatedOrRepresentativesCount>1</RepresentatedOrRepresentativesCount>
        <InvitedBy/>
        <CaseID>80608688</CaseID>
        <CaseJudicialPersonPresentationDS>
          <CaseJudicalPersonActive>
            <CaseID>80608688</CaseID>
            <JudicialPersonID>058677980@GOV.IL</JudicialPersonID>
            <JudicialPersonTypeID>1</JudicialPersonTypeID>
            <JudicialTypeID>1</JudicialTypeID>
            <IsChairman>false</IsChairman>
            <TreatmentStartDate>2023-11-06T10:44:56.947+02:00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260648023</CasePartyID>
        <PartyTypeID>2</PartyTypeID>
        <ActivityStatusID>1</ActivityStatusID>
        <PartyAliasID>23</PartyAliasID>
        <PartyAliasName>בא כוח משיבים</PartyAliasName>
        <OrdinalNumber>1</OrdinalNumber>
        <LegalEntityID>382854</LegalEntityID>
        <CaseLegalEntityID>125969944</CaseLegalEntityID>
        <AuthenticationTypeID>4</AuthenticationTypeID>
        <AuthenticationTypeName>מ.ר.</AuthenticationTypeName>
        <LegalEntityNumber>18310</LegalEntityNumber>
        <IsMainPartyType>true</IsMainPartyType>
        <CaseDisplayIdentifier>37679-09-23</CaseDisplayIdentifier>
        <CaseTypeID>10074</CaseTypeID>
        <CaseTypeName>רשות ערעור משפחה (רמ"ש)</CaseTypeName>
        <CaseName>כהן נ' כהן</CaseName>
        <FullAddress>הנפח 34 כרמיאל ת.ד 153</FullAddress>
        <MotionID>0</MotionID>
        <CasePleaID>0</CasePleaID>
        <BirthDate>1962-02-22T00:00:00+02:00</BirthDate>
        <FatherName>חיים</FatherName>
        <LinkedCaseID>0</LinkedCaseID>
        <PartyID>2</PartyID>
        <CasePartyCategoryID>2</CasePartyCategoryID>
        <LegalEntityAddressID>73541534</LegalEntityAddressID>
        <PleaTypeID>5</PleaTypeID>
        <LawyerOfficeName>משר עו"ד: אריה אביאב</LawyerOfficeName>
        <LawyerOfficeID>70036686</LawyerOfficeID>
        <GroupPartyAlias/>
        <IsConverted>false</IsConverted>
        <LegalEntityNameID>3838</LegalEntityNameID>
        <RepresentatedNamesOfAssistant/>
        <LegalEntityTypeID>4</LegalEntityTypeID>
        <IsVerdictExists>false</IsVerdictExists>
        <IsAsirAzir>false</IsAsirAzir>
        <IsPublicationProhibited>false</IsPublicationProhibited>
        <PublicationProhibitedFullName>אריה אביאב</PublicationProhibitedFullName>
      </CaseParties>
    </CasePartiesSelectionDS>
    <CaseName>כהן נ' כהן</CaseName>
    <CaseDisplayIdentifier>37679-09-23</CaseDisplayIdentifier>
    <CaseInterestID>101</CaseInterestID>
    <CaseTypeShortName>רמ"ש</CaseTypeShortName>
  </dt_DecisionCase>
  <dt_DecisionJudgePanel>
    <JudgeID>058677980@GOV.IL</JudgeID>
    <DisplayName>אריה נאמן</DisplayName>
    <RoleName>שופט</RoleName>
    <UserTitleName>שופט</UserTitleName>
  </dt_DecisionJudgePanel>
  <dt_LegalEntityDetails>
    <PartyID>1</PartyID>
    <PartyTypeID>1</PartyTypeID>
    <DecisionID>0</DecisionID>
    <StreetName>מירון 86</StreetName>
    <CityName>כרמיאל</CityName>
    <FullName>משה  כהן</FullName>
    <Email>mosheco168@gmail.com</Email>
    <IsPublicationProhibited>false</IsPublicationProhibited>
  </dt_LegalEntityDetails>
  <dt_LegalEntityDetails>
    <PartyID>2</PartyID>
    <PartyTypeID>1</PartyTypeID>
    <DecisionID>0</DecisionID>
    <StreetName>דקל 5</StreetName>
    <CityName>כרמיאל</CityName>
    <FullName>אטרי כהן</FullName>
    <IsPublicationProhibited>false</IsPublicationProhibited>
  </dt_LegalEntityDetails>
  <dt_LegalEntityDetails>
    <Fax>04-8104601</Fax>
    <PartyID>1</PartyID>
    <PartyTypeID>2</PartyTypeID>
    <DecisionID>0</DecisionID>
    <StreetName>מעלה השחרור 23 ג'</StreetName>
    <ZipCode>3310501</ZipCode>
    <CityName>חיפה</CityName>
    <FullName>סיון טל יחזקאל</FullName>
    <Email>sty.adv@gmail.com</Email>
    <IsPublicationProhibited>false</IsPublicationProhibited>
  </dt_LegalEntityDetails>
  <dt_LegalEntityDetails>
    <Fax>04-9585248</Fax>
    <Phone>04-9885672</Phone>
    <AddressDesc>ת.ד 153</AddressDesc>
    <PartyID>2</PartyID>
    <PartyTypeID>2</PartyTypeID>
    <DecisionID>0</DecisionID>
    <StreetName>הנפח 34</StreetName>
    <ZipCode>21611</ZipCode>
    <CityName>כרמיאל</CityName>
    <FullName>אריה אביאב</FullName>
    <Email>aviav.law@gmail.com</Email>
    <IsPublicationProhibited>false</IsPublicationProhibited>
  </dt_LegalEntityDetails>
  <dt_CaseJudicalPersonActive>
    <CaseJudicalPerson>שופט אריה נאמן</CaseJudicalPerson>
  </dt_CaseJudicalPersonActive>
  <dt_Sitting/>
</DecisionTemplateDS>
</file>

<file path=customXml/item2.xm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0E0AD-0D3E-4350-A2A5-706C76EFC013}">
  <ds:schemaRefs/>
</ds:datastoreItem>
</file>

<file path=customXml/itemProps2.xml><?xml version="1.0" encoding="utf-8"?>
<ds:datastoreItem xmlns:ds="http://schemas.openxmlformats.org/officeDocument/2006/customXml" ds:itemID="{39C9AC71-1F30-41BF-BED2-9956D6402C7A}"/>
</file>

<file path=customXml/itemProps3.xml><?xml version="1.0" encoding="utf-8"?>
<ds:datastoreItem xmlns:ds="http://schemas.openxmlformats.org/officeDocument/2006/customXml" ds:itemID="{FD186BA1-121B-4DC0-8B3B-76738D552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1986</Words>
  <Characters>9931</Characters>
  <Application>Microsoft Office Word</Application>
  <DocSecurity>4</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2023-11-08T08:45:00Z</dcterms:created>
  <dcterms:modified xsi:type="dcterms:W3CDTF">2023-11-08T08:45:00Z</dcterms:modified>
</cp:coreProperties>
</file>